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8B" w:rsidRDefault="0050478B" w:rsidP="0050478B">
      <w:pPr>
        <w:spacing w:line="360" w:lineRule="auto"/>
        <w:rPr>
          <w:b/>
          <w:sz w:val="30"/>
        </w:rPr>
      </w:pPr>
      <w:bookmarkStart w:id="0" w:name="_GoBack"/>
      <w:bookmarkEnd w:id="0"/>
      <w:r>
        <w:rPr>
          <w:rFonts w:hint="eastAsia"/>
          <w:noProof/>
          <w:sz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4784965</wp:posOffset>
                </wp:positionH>
                <wp:positionV relativeFrom="paragraph">
                  <wp:posOffset>122316</wp:posOffset>
                </wp:positionV>
                <wp:extent cx="523875" cy="285750"/>
                <wp:effectExtent l="0" t="0" r="28575" b="0"/>
                <wp:wrapNone/>
                <wp:docPr id="6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875" cy="285750"/>
                          <a:chOff x="8727" y="2627"/>
                          <a:chExt cx="825" cy="450"/>
                        </a:xfrm>
                      </wpg:grpSpPr>
                      <wps:wsp>
                        <wps:cNvPr id="7" name="椭圆 23"/>
                        <wps:cNvSpPr>
                          <a:spLocks noChangeArrowheads="1"/>
                        </wps:cNvSpPr>
                        <wps:spPr bwMode="auto">
                          <a:xfrm>
                            <a:off x="8727" y="2627"/>
                            <a:ext cx="825" cy="42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24"/>
                        <wps:cNvSpPr txBox="1">
                          <a:spLocks noChangeArrowheads="1"/>
                        </wps:cNvSpPr>
                        <wps:spPr bwMode="auto">
                          <a:xfrm>
                            <a:off x="8772" y="2627"/>
                            <a:ext cx="78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78B" w:rsidRDefault="0050478B">
                              <w:pPr>
                                <w:rPr>
                                  <w:color w:val="FFFFFF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/>
                                </w:rPr>
                                <w:t>OTC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" o:spid="_x0000_s1026" style="position:absolute;left:0;text-align:left;margin-left:376.75pt;margin-top:9.65pt;width:41.25pt;height:22.5pt;z-index:251659264" coordorigin="8727,2627" coordsize="82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">
                <v:oval id="椭圆 23" o:spid="_x0000_s1027" style="position:absolute;left:8727;top:2627;width:82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UmcIA&#10;AADaAAAADwAAAGRycy9kb3ducmV2LnhtbESPT2sCMRTE74V+h/AK3mpWwapbo5SC2Jvrn4u3x+bt&#10;bujmZUmiu377piB4HGbmN8xqM9hW3MgH41jBZJyBIC6dNlwrOJ+27wsQISJrbB2TgjsF2KxfX1aY&#10;a9fzgW7HWIsE4ZCjgibGLpcylA1ZDGPXESevct5iTNLXUnvsE9y2cpplH9Ki4bTQYEffDZW/x6tV&#10;4O+9W0zaS1HsTW2qYlYt7W6v1Oht+PoEEWmIz/Cj/aMVzOH/Sro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xSZwgAAANoAAAAPAAAAAAAAAAAAAAAAAJgCAABkcnMvZG93&#10;bnJldi54bWxQSwUGAAAAAAQABAD1AAAAhwMAAAAA&#10;" fillcolor="red" strokecolor="re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4" o:spid="_x0000_s1028" type="#_x0000_t202" style="position:absolute;left:8772;top:2627;width:7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50478B" w:rsidRDefault="0050478B">
                        <w:pPr>
                          <w:rPr>
                            <w:color w:val="FFFFFF"/>
                          </w:rPr>
                        </w:pPr>
                        <w:r>
                          <w:rPr>
                            <w:rFonts w:hint="eastAsia"/>
                            <w:color w:val="FFFFFF"/>
                          </w:rPr>
                          <w:t>OTC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30"/>
        </w:rPr>
        <w:t xml:space="preserve"> </w:t>
      </w:r>
      <w:r>
        <w:rPr>
          <w:b/>
          <w:sz w:val="30"/>
        </w:rPr>
        <w:t xml:space="preserve">                                        </w:t>
      </w:r>
    </w:p>
    <w:p w:rsidR="0050478B" w:rsidRDefault="0050478B" w:rsidP="0050478B">
      <w:pPr>
        <w:pStyle w:val="a3"/>
        <w:spacing w:line="360" w:lineRule="exact"/>
        <w:jc w:val="center"/>
        <w:rPr>
          <w:b/>
          <w:sz w:val="18"/>
        </w:rPr>
      </w:pPr>
      <w:r>
        <w:rPr>
          <w:rFonts w:hint="eastAsia"/>
          <w:b/>
          <w:sz w:val="30"/>
        </w:rPr>
        <w:t xml:space="preserve">                                              </w:t>
      </w:r>
      <w:r>
        <w:rPr>
          <w:rFonts w:hint="eastAsia"/>
          <w:b/>
          <w:sz w:val="18"/>
          <w:szCs w:val="18"/>
        </w:rPr>
        <w:t>甲</w:t>
      </w:r>
      <w:r>
        <w:rPr>
          <w:rFonts w:hint="eastAsia"/>
          <w:b/>
          <w:sz w:val="18"/>
        </w:rPr>
        <w:t xml:space="preserve">  类</w:t>
      </w:r>
    </w:p>
    <w:p w:rsidR="0050478B" w:rsidRDefault="0050478B" w:rsidP="0050478B">
      <w:pPr>
        <w:pStyle w:val="a3"/>
        <w:ind w:firstLineChars="969" w:firstLine="2035"/>
        <w:rPr>
          <w:rFonts w:ascii="黑体" w:eastAsia="黑体" w:hAnsi="宋体"/>
          <w:b/>
          <w:sz w:val="36"/>
          <w:szCs w:val="36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-501015</wp:posOffset>
            </wp:positionV>
            <wp:extent cx="313055" cy="368300"/>
            <wp:effectExtent l="0" t="0" r="0" b="0"/>
            <wp:wrapNone/>
            <wp:docPr id="5" name="图片 5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宋体" w:hint="eastAsia"/>
          <w:b/>
          <w:sz w:val="36"/>
          <w:szCs w:val="36"/>
        </w:rPr>
        <w:t>小儿清热止咳口服液说明书</w:t>
      </w:r>
    </w:p>
    <w:p w:rsidR="0050478B" w:rsidRDefault="0050478B" w:rsidP="0050478B">
      <w:pPr>
        <w:pStyle w:val="a3"/>
        <w:spacing w:line="280" w:lineRule="exact"/>
        <w:ind w:firstLineChars="392" w:firstLine="944"/>
        <w:rPr>
          <w:rFonts w:ascii="黑体" w:eastAsia="黑体"/>
          <w:sz w:val="24"/>
        </w:rPr>
      </w:pPr>
      <w:r>
        <w:rPr>
          <w:rFonts w:ascii="黑体" w:eastAsia="黑体" w:hint="eastAsia"/>
          <w:b/>
          <w:sz w:val="24"/>
        </w:rPr>
        <w:t>请仔细阅读说明书并按说明使用或在药师指导下购买和使用</w:t>
      </w:r>
    </w:p>
    <w:p w:rsidR="0050478B" w:rsidRDefault="0050478B" w:rsidP="0050478B">
      <w:pPr>
        <w:rPr>
          <w:rFonts w:ascii="黑体" w:eastAsia="黑体" w:hAnsi="黑体" w:cs="黑体"/>
          <w:sz w:val="24"/>
        </w:rPr>
      </w:pPr>
    </w:p>
    <w:p w:rsidR="0050478B" w:rsidRDefault="0050478B" w:rsidP="0050478B">
      <w:pPr>
        <w:ind w:firstLineChars="850" w:firstLine="2040"/>
        <w:rPr>
          <w:rFonts w:ascii="黑体" w:eastAsia="黑体" w:hAnsi="黑体" w:cs="仿宋_GB2312"/>
          <w:sz w:val="24"/>
        </w:rPr>
      </w:pPr>
      <w:r>
        <w:rPr>
          <w:rFonts w:ascii="黑体" w:eastAsia="黑体" w:hAnsi="黑体" w:cs="黑体" w:hint="eastAsia"/>
          <w:sz w:val="24"/>
        </w:rPr>
        <w:t>【警示语】</w:t>
      </w:r>
      <w:r>
        <w:rPr>
          <w:rFonts w:ascii="黑体" w:eastAsia="黑体" w:hAnsi="黑体" w:cs="仿宋_GB2312" w:hint="eastAsia"/>
          <w:sz w:val="24"/>
        </w:rPr>
        <w:t>本品含麻黄，运动员慎用。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>【药品名称】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spacing w:line="320" w:lineRule="exact"/>
        <w:jc w:val="left"/>
        <w:rPr>
          <w:sz w:val="24"/>
        </w:rPr>
      </w:pPr>
      <w:r>
        <w:rPr>
          <w:rFonts w:hint="eastAsia"/>
          <w:sz w:val="24"/>
        </w:rPr>
        <w:t>通用名称：</w:t>
      </w:r>
      <w:r>
        <w:rPr>
          <w:rFonts w:ascii="宋体" w:hAnsi="宋体" w:hint="eastAsia"/>
          <w:sz w:val="24"/>
        </w:rPr>
        <w:t>小儿清热止咳口服液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spacing w:line="320" w:lineRule="exact"/>
        <w:jc w:val="left"/>
        <w:rPr>
          <w:sz w:val="24"/>
        </w:rPr>
      </w:pPr>
      <w:r>
        <w:rPr>
          <w:rFonts w:hint="eastAsia"/>
          <w:sz w:val="24"/>
        </w:rPr>
        <w:t>汉语拼音：</w:t>
      </w:r>
      <w:r>
        <w:rPr>
          <w:rFonts w:ascii="宋体" w:hAnsi="宋体" w:hint="eastAsia"/>
          <w:sz w:val="24"/>
        </w:rPr>
        <w:t>Xiao</w:t>
      </w:r>
      <w:proofErr w:type="gramStart"/>
      <w:r>
        <w:rPr>
          <w:rFonts w:ascii="宋体" w:hAnsi="宋体" w:hint="eastAsia"/>
          <w:position w:val="16"/>
          <w:sz w:val="24"/>
        </w:rPr>
        <w:t>,</w:t>
      </w:r>
      <w:proofErr w:type="spellStart"/>
      <w:r>
        <w:rPr>
          <w:rFonts w:ascii="宋体" w:hAnsi="宋体" w:hint="eastAsia"/>
          <w:sz w:val="24"/>
        </w:rPr>
        <w:t>er</w:t>
      </w:r>
      <w:proofErr w:type="spellEnd"/>
      <w:proofErr w:type="gramEnd"/>
      <w:r>
        <w:rPr>
          <w:rFonts w:ascii="宋体" w:hAnsi="宋体" w:hint="eastAsia"/>
          <w:sz w:val="24"/>
        </w:rPr>
        <w:t xml:space="preserve"> </w:t>
      </w:r>
      <w:proofErr w:type="spellStart"/>
      <w:r>
        <w:rPr>
          <w:rFonts w:ascii="宋体" w:hAnsi="宋体" w:hint="eastAsia"/>
          <w:sz w:val="24"/>
        </w:rPr>
        <w:t>Qingre</w:t>
      </w:r>
      <w:proofErr w:type="spellEnd"/>
      <w:r>
        <w:rPr>
          <w:rFonts w:ascii="宋体" w:hAnsi="宋体" w:hint="eastAsia"/>
          <w:sz w:val="24"/>
        </w:rPr>
        <w:t xml:space="preserve"> </w:t>
      </w:r>
      <w:proofErr w:type="spellStart"/>
      <w:r>
        <w:rPr>
          <w:rFonts w:ascii="宋体" w:hAnsi="宋体" w:hint="eastAsia"/>
          <w:sz w:val="24"/>
        </w:rPr>
        <w:t>Zhike</w:t>
      </w:r>
      <w:proofErr w:type="spellEnd"/>
      <w:r>
        <w:rPr>
          <w:rFonts w:ascii="宋体" w:hAnsi="宋体" w:hint="eastAsia"/>
          <w:sz w:val="24"/>
        </w:rPr>
        <w:t xml:space="preserve"> </w:t>
      </w:r>
      <w:proofErr w:type="spellStart"/>
      <w:r>
        <w:rPr>
          <w:rFonts w:ascii="宋体" w:hAnsi="宋体" w:hint="eastAsia"/>
          <w:sz w:val="24"/>
        </w:rPr>
        <w:t>Koufuye</w:t>
      </w:r>
      <w:proofErr w:type="spellEnd"/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 xml:space="preserve">【成份】　</w:t>
      </w:r>
      <w:r>
        <w:rPr>
          <w:rFonts w:ascii="宋体" w:hAnsi="宋体" w:hint="eastAsia"/>
          <w:sz w:val="24"/>
        </w:rPr>
        <w:t>麻黄、</w:t>
      </w:r>
      <w:proofErr w:type="gramStart"/>
      <w:r>
        <w:rPr>
          <w:rFonts w:ascii="宋体" w:hAnsi="宋体" w:hint="eastAsia"/>
          <w:sz w:val="24"/>
        </w:rPr>
        <w:t>炒苦杏仁</w:t>
      </w:r>
      <w:proofErr w:type="gramEnd"/>
      <w:r>
        <w:rPr>
          <w:rFonts w:ascii="宋体" w:hAnsi="宋体" w:hint="eastAsia"/>
          <w:sz w:val="24"/>
        </w:rPr>
        <w:t>、石膏、甘草、黄芩、板蓝根、北豆根。辅料为蜂蜜、蔗糖、苯甲酸钠、纯化水。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>【性状】</w:t>
      </w:r>
      <w:r>
        <w:rPr>
          <w:rFonts w:ascii="宋体" w:hAnsi="宋体" w:hint="eastAsia"/>
          <w:sz w:val="24"/>
        </w:rPr>
        <w:t>本品为棕黄色的液体，久置有少量沉淀；味甘，微苦。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>【功能主治】清热宣肺，平喘，利咽。用于小儿外感风热所致的感冒，症见发热恶寒、咳嗽痰黄、气促喘息、口干音哑、咽喉肿痛。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>【规格】每支装</w:t>
      </w:r>
      <w:r>
        <w:rPr>
          <w:sz w:val="24"/>
        </w:rPr>
        <w:t>10</w:t>
      </w:r>
      <w:r>
        <w:rPr>
          <w:rFonts w:hint="eastAsia"/>
          <w:sz w:val="24"/>
        </w:rPr>
        <w:t>毫升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sz w:val="24"/>
        </w:rPr>
      </w:pPr>
      <w:r>
        <w:rPr>
          <w:rFonts w:hint="eastAsia"/>
          <w:sz w:val="24"/>
        </w:rPr>
        <w:t>【用法用量】口服。一岁至二岁一次</w:t>
      </w:r>
      <w:r>
        <w:rPr>
          <w:sz w:val="24"/>
        </w:rPr>
        <w:t>3</w:t>
      </w:r>
      <w:r>
        <w:rPr>
          <w:rFonts w:hint="eastAsia"/>
          <w:sz w:val="24"/>
        </w:rPr>
        <w:t>～</w:t>
      </w:r>
      <w:r>
        <w:rPr>
          <w:sz w:val="24"/>
        </w:rPr>
        <w:t>5</w:t>
      </w:r>
      <w:r>
        <w:rPr>
          <w:rFonts w:hint="eastAsia"/>
          <w:sz w:val="24"/>
        </w:rPr>
        <w:t>毫升，三岁至五岁一次</w:t>
      </w:r>
      <w:r>
        <w:rPr>
          <w:sz w:val="24"/>
        </w:rPr>
        <w:t>5</w:t>
      </w:r>
      <w:r>
        <w:rPr>
          <w:rFonts w:hint="eastAsia"/>
          <w:sz w:val="24"/>
        </w:rPr>
        <w:t>～</w:t>
      </w:r>
      <w:r>
        <w:rPr>
          <w:sz w:val="24"/>
        </w:rPr>
        <w:t>10</w:t>
      </w:r>
      <w:r>
        <w:rPr>
          <w:rFonts w:hint="eastAsia"/>
          <w:sz w:val="24"/>
        </w:rPr>
        <w:t>毫升，六岁至十四岁一次</w:t>
      </w:r>
      <w:r>
        <w:rPr>
          <w:sz w:val="24"/>
        </w:rPr>
        <w:t>10</w:t>
      </w:r>
      <w:r>
        <w:rPr>
          <w:rFonts w:hint="eastAsia"/>
          <w:sz w:val="24"/>
        </w:rPr>
        <w:t>～</w:t>
      </w:r>
      <w:r>
        <w:rPr>
          <w:sz w:val="24"/>
        </w:rPr>
        <w:t>15</w:t>
      </w:r>
      <w:r>
        <w:rPr>
          <w:rFonts w:hint="eastAsia"/>
          <w:sz w:val="24"/>
        </w:rPr>
        <w:t>毫升，一日</w:t>
      </w:r>
      <w:r>
        <w:rPr>
          <w:sz w:val="24"/>
        </w:rPr>
        <w:t>3</w:t>
      </w:r>
      <w:r>
        <w:rPr>
          <w:rFonts w:hint="eastAsia"/>
          <w:sz w:val="24"/>
        </w:rPr>
        <w:t>次。用时摇匀。</w:t>
      </w:r>
    </w:p>
    <w:p w:rsidR="0050478B" w:rsidRDefault="0050478B" w:rsidP="0050478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【不良反应】监测数据显示，小儿清热止咳制剂可见以下不良反应报告：恶心、呕吐、口干、腹泻、腹痛、腹胀、腹部不适、皮疹、瘙痒、潮红、荨麻疹、红斑、头晕、嗜睡、过敏反应等，</w:t>
      </w:r>
      <w:r>
        <w:rPr>
          <w:rFonts w:ascii="宋体" w:hAnsi="宋体" w:cs="仿宋_GB2312" w:hint="eastAsia"/>
          <w:sz w:val="24"/>
        </w:rPr>
        <w:t>有过敏性休克个例报告</w:t>
      </w:r>
      <w:r>
        <w:rPr>
          <w:rFonts w:ascii="宋体" w:hAnsi="宋体" w:hint="eastAsia"/>
          <w:sz w:val="24"/>
        </w:rPr>
        <w:t>。</w:t>
      </w:r>
    </w:p>
    <w:p w:rsidR="0050478B" w:rsidRDefault="0050478B" w:rsidP="0050478B">
      <w:pPr>
        <w:rPr>
          <w:rFonts w:ascii="黑体" w:eastAsia="黑体" w:hAnsi="黑体" w:cs="仿宋_GB2312"/>
          <w:sz w:val="24"/>
        </w:rPr>
      </w:pPr>
      <w:r>
        <w:rPr>
          <w:rFonts w:ascii="黑体" w:eastAsia="黑体" w:hint="eastAsia"/>
          <w:b/>
          <w:sz w:val="24"/>
        </w:rPr>
        <w:t>【禁忌】</w:t>
      </w:r>
      <w:r>
        <w:rPr>
          <w:rFonts w:ascii="黑体" w:eastAsia="黑体" w:hAnsi="黑体" w:cs="仿宋_GB2312" w:hint="eastAsia"/>
          <w:sz w:val="24"/>
        </w:rPr>
        <w:t>对本品及所含成份过敏者禁用。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【注意事项】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1.忌辛辣、生冷、油腻食物。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2.不宜在服药期间同时服用滋补性中药。</w:t>
      </w:r>
    </w:p>
    <w:p w:rsidR="0050478B" w:rsidRDefault="0050478B" w:rsidP="0050478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3.风寒感冒者不适用，表现为发热畏冷、肢凉、流清</w:t>
      </w:r>
      <w:proofErr w:type="gramStart"/>
      <w:r>
        <w:rPr>
          <w:rFonts w:ascii="黑体" w:eastAsia="黑体" w:hAnsi="黑体" w:hint="eastAsia"/>
          <w:b/>
          <w:sz w:val="24"/>
        </w:rPr>
        <w:t>涕</w:t>
      </w:r>
      <w:proofErr w:type="gramEnd"/>
      <w:r>
        <w:rPr>
          <w:rFonts w:ascii="黑体" w:eastAsia="黑体" w:hAnsi="黑体" w:hint="eastAsia"/>
          <w:b/>
          <w:sz w:val="24"/>
        </w:rPr>
        <w:t>，咽不红者等。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4.</w:t>
      </w:r>
      <w:r>
        <w:rPr>
          <w:rFonts w:ascii="黑体" w:eastAsia="黑体" w:hAnsi="黑体" w:hint="eastAsia"/>
          <w:b/>
          <w:sz w:val="24"/>
        </w:rPr>
        <w:t>1岁以下婴儿慎用，且应当在医师指导下服用。</w:t>
      </w:r>
      <w:r>
        <w:rPr>
          <w:rFonts w:ascii="黑体" w:eastAsia="黑体" w:hint="eastAsia"/>
          <w:b/>
          <w:sz w:val="24"/>
        </w:rPr>
        <w:t>婴儿应在医师指导下服用。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int="eastAsia"/>
          <w:b/>
          <w:sz w:val="24"/>
        </w:rPr>
        <w:t>5.高血压、心脏病患儿慎用，</w:t>
      </w:r>
      <w:r>
        <w:rPr>
          <w:rFonts w:ascii="黑体" w:eastAsia="黑体" w:hAnsi="黑体" w:hint="eastAsia"/>
          <w:b/>
          <w:sz w:val="24"/>
        </w:rPr>
        <w:t>且应当在医师指导下服用。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6.</w:t>
      </w:r>
      <w:r>
        <w:rPr>
          <w:rFonts w:ascii="黑体" w:eastAsia="黑体" w:hAnsi="黑体" w:hint="eastAsia"/>
          <w:b/>
          <w:sz w:val="24"/>
        </w:rPr>
        <w:t>本品含蔗糖和（或者）蜂蜜，糖尿病患儿慎用，且应当在医师指导下服用。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7.</w:t>
      </w:r>
      <w:r>
        <w:rPr>
          <w:rFonts w:ascii="黑体" w:eastAsia="黑体" w:hAnsi="黑体" w:hint="eastAsia"/>
          <w:b/>
          <w:sz w:val="24"/>
        </w:rPr>
        <w:t>脾虚易腹泻者应当在医师指导下服用。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8.发热体温超过38.5</w:t>
      </w:r>
      <w:r>
        <w:rPr>
          <w:rFonts w:ascii="黑体" w:eastAsia="黑体" w:hAnsi="宋体" w:cs="宋体" w:hint="eastAsia"/>
          <w:b/>
          <w:sz w:val="24"/>
        </w:rPr>
        <w:t>℃</w:t>
      </w:r>
      <w:r>
        <w:rPr>
          <w:rFonts w:ascii="黑体" w:eastAsia="黑体" w:hint="eastAsia"/>
          <w:b/>
          <w:sz w:val="24"/>
        </w:rPr>
        <w:t>的患者，应</w:t>
      </w:r>
      <w:r>
        <w:rPr>
          <w:rFonts w:ascii="黑体" w:eastAsia="黑体" w:hAnsi="黑体" w:hint="eastAsia"/>
          <w:b/>
          <w:sz w:val="24"/>
        </w:rPr>
        <w:t>当</w:t>
      </w:r>
      <w:r>
        <w:rPr>
          <w:rFonts w:ascii="黑体" w:eastAsia="黑体" w:hint="eastAsia"/>
          <w:b/>
          <w:sz w:val="24"/>
        </w:rPr>
        <w:t>去医院就诊。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9.咳喘加重应及时去医院就诊。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10.服药3天症状无缓解，应当去医院就诊。</w:t>
      </w:r>
    </w:p>
    <w:p w:rsidR="0050478B" w:rsidRDefault="0050478B" w:rsidP="0050478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11.本品含麻黄，运动员慎用。</w:t>
      </w:r>
    </w:p>
    <w:p w:rsidR="0050478B" w:rsidRDefault="0050478B" w:rsidP="0050478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12.过敏体质者慎用。</w:t>
      </w:r>
    </w:p>
    <w:p w:rsidR="0050478B" w:rsidRDefault="0050478B" w:rsidP="0050478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13.本品性</w:t>
      </w:r>
      <w:proofErr w:type="gramStart"/>
      <w:r>
        <w:rPr>
          <w:rFonts w:ascii="黑体" w:eastAsia="黑体" w:hAnsi="黑体" w:hint="eastAsia"/>
          <w:b/>
          <w:sz w:val="24"/>
        </w:rPr>
        <w:t>状发生</w:t>
      </w:r>
      <w:proofErr w:type="gramEnd"/>
      <w:r>
        <w:rPr>
          <w:rFonts w:ascii="黑体" w:eastAsia="黑体" w:hAnsi="黑体" w:hint="eastAsia"/>
          <w:b/>
          <w:sz w:val="24"/>
        </w:rPr>
        <w:t>改变时禁止使用。</w:t>
      </w:r>
    </w:p>
    <w:p w:rsidR="0050478B" w:rsidRDefault="0050478B" w:rsidP="0050478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14.儿童必须在成人监护下使用。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15.请将本品放在儿童不能接触的地方。</w:t>
      </w:r>
    </w:p>
    <w:p w:rsidR="0050478B" w:rsidRDefault="0050478B" w:rsidP="0050478B">
      <w:pPr>
        <w:tabs>
          <w:tab w:val="left" w:pos="5400"/>
          <w:tab w:val="left" w:pos="5760"/>
        </w:tabs>
        <w:autoSpaceDE w:val="0"/>
        <w:autoSpaceDN w:val="0"/>
        <w:adjustRightInd w:val="0"/>
        <w:jc w:val="left"/>
        <w:rPr>
          <w:rFonts w:ascii="黑体" w:eastAsia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16.如正在使用其他药品，使用本品前请咨询医师或者药师。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【药物相互作用】如与其他药物同时使用可能会发生药物相互作用，详情请咨询医师或药师。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【贮藏】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密封。　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lastRenderedPageBreak/>
        <w:t>【包装】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低硼硅玻璃</w:t>
      </w:r>
      <w:proofErr w:type="gramEnd"/>
      <w:r>
        <w:rPr>
          <w:rFonts w:hint="eastAsia"/>
          <w:sz w:val="24"/>
        </w:rPr>
        <w:t>管制口服液体瓶和药用氯化丁基橡胶塞，</w:t>
      </w:r>
      <w:r>
        <w:rPr>
          <w:sz w:val="24"/>
        </w:rPr>
        <w:t>6</w:t>
      </w:r>
      <w:r>
        <w:rPr>
          <w:rFonts w:hint="eastAsia"/>
          <w:sz w:val="24"/>
        </w:rPr>
        <w:t>支</w:t>
      </w:r>
      <w:r>
        <w:rPr>
          <w:sz w:val="24"/>
        </w:rPr>
        <w:t>/</w:t>
      </w:r>
      <w:r>
        <w:rPr>
          <w:rFonts w:hint="eastAsia"/>
          <w:sz w:val="24"/>
        </w:rPr>
        <w:t>盒、</w:t>
      </w:r>
      <w:r>
        <w:rPr>
          <w:sz w:val="24"/>
        </w:rPr>
        <w:t>8</w:t>
      </w:r>
      <w:r>
        <w:rPr>
          <w:rFonts w:hint="eastAsia"/>
          <w:sz w:val="24"/>
        </w:rPr>
        <w:t>支</w:t>
      </w:r>
      <w:r>
        <w:rPr>
          <w:sz w:val="24"/>
        </w:rPr>
        <w:t>/</w:t>
      </w:r>
      <w:r>
        <w:rPr>
          <w:rFonts w:hint="eastAsia"/>
          <w:sz w:val="24"/>
        </w:rPr>
        <w:t>盒、</w:t>
      </w:r>
      <w:r>
        <w:rPr>
          <w:sz w:val="24"/>
        </w:rPr>
        <w:t>10</w:t>
      </w:r>
      <w:r>
        <w:rPr>
          <w:rFonts w:hint="eastAsia"/>
          <w:sz w:val="24"/>
        </w:rPr>
        <w:t>支</w:t>
      </w:r>
      <w:r>
        <w:rPr>
          <w:sz w:val="24"/>
        </w:rPr>
        <w:t>/</w:t>
      </w:r>
      <w:r>
        <w:rPr>
          <w:rFonts w:hint="eastAsia"/>
          <w:sz w:val="24"/>
        </w:rPr>
        <w:t>盒。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【有效期】</w:t>
      </w:r>
      <w:r>
        <w:rPr>
          <w:rFonts w:ascii="宋体" w:hint="eastAsia"/>
          <w:bCs/>
          <w:sz w:val="24"/>
        </w:rPr>
        <w:t xml:space="preserve"> </w:t>
      </w:r>
      <w:r>
        <w:rPr>
          <w:rFonts w:ascii="宋体" w:hAnsi="宋体" w:hint="eastAsia"/>
          <w:sz w:val="24"/>
        </w:rPr>
        <w:t>24个月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【执行标准】</w:t>
      </w:r>
      <w:r>
        <w:rPr>
          <w:sz w:val="24"/>
        </w:rPr>
        <w:t xml:space="preserve"> </w:t>
      </w:r>
      <w:r>
        <w:rPr>
          <w:rFonts w:hint="eastAsia"/>
          <w:sz w:val="24"/>
        </w:rPr>
        <w:t>中国药典</w:t>
      </w:r>
      <w:r>
        <w:rPr>
          <w:sz w:val="24"/>
        </w:rPr>
        <w:t>2020</w:t>
      </w:r>
      <w:r>
        <w:rPr>
          <w:rFonts w:hint="eastAsia"/>
          <w:sz w:val="24"/>
        </w:rPr>
        <w:t>年版一部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【批准文号】国药准字</w:t>
      </w:r>
      <w:r>
        <w:rPr>
          <w:sz w:val="24"/>
        </w:rPr>
        <w:t>Z41022242</w:t>
      </w:r>
    </w:p>
    <w:p w:rsidR="0050478B" w:rsidRDefault="0050478B" w:rsidP="0050478B">
      <w:pPr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【上市许可持有人】海南制药厂有限公司制药二厂</w:t>
      </w:r>
    </w:p>
    <w:p w:rsidR="0050478B" w:rsidRDefault="0050478B" w:rsidP="0050478B">
      <w:pPr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【地    址】林州市</w:t>
      </w:r>
      <w:proofErr w:type="gramStart"/>
      <w:r>
        <w:rPr>
          <w:rFonts w:ascii="宋体" w:hAnsi="宋体" w:hint="eastAsia"/>
          <w:sz w:val="24"/>
        </w:rPr>
        <w:t>史家河</w:t>
      </w:r>
      <w:proofErr w:type="gramEnd"/>
      <w:r>
        <w:rPr>
          <w:rFonts w:ascii="宋体" w:hAnsi="宋体" w:hint="eastAsia"/>
          <w:sz w:val="24"/>
        </w:rPr>
        <w:t>工业园区</w:t>
      </w:r>
    </w:p>
    <w:p w:rsidR="0050478B" w:rsidRDefault="0050478B" w:rsidP="0050478B">
      <w:pPr>
        <w:rPr>
          <w:rFonts w:ascii="ˎ̥" w:hAnsi="ˎ̥"/>
          <w:sz w:val="24"/>
        </w:rPr>
      </w:pPr>
      <w:r>
        <w:rPr>
          <w:rFonts w:hint="eastAsia"/>
          <w:sz w:val="24"/>
        </w:rPr>
        <w:t>【说明书修订日期】</w:t>
      </w:r>
      <w:r>
        <w:rPr>
          <w:sz w:val="24"/>
        </w:rPr>
        <w:t>2024</w:t>
      </w:r>
      <w:r>
        <w:rPr>
          <w:rFonts w:hint="eastAsia"/>
          <w:sz w:val="24"/>
        </w:rPr>
        <w:t>年</w:t>
      </w:r>
      <w:r>
        <w:rPr>
          <w:sz w:val="24"/>
        </w:rPr>
        <w:t>09</w:t>
      </w:r>
      <w:r>
        <w:rPr>
          <w:rFonts w:hint="eastAsia"/>
          <w:sz w:val="24"/>
        </w:rPr>
        <w:t>月</w:t>
      </w:r>
      <w:r>
        <w:rPr>
          <w:sz w:val="24"/>
        </w:rPr>
        <w:t>26</w:t>
      </w:r>
      <w:r>
        <w:rPr>
          <w:rFonts w:hint="eastAsia"/>
          <w:sz w:val="24"/>
        </w:rPr>
        <w:t>日</w:t>
      </w:r>
      <w:r>
        <w:rPr>
          <w:rFonts w:ascii="ˎ̥" w:hAnsi="ˎ̥"/>
          <w:sz w:val="24"/>
        </w:rPr>
        <w:t xml:space="preserve"> </w:t>
      </w:r>
    </w:p>
    <w:p w:rsidR="0050478B" w:rsidRDefault="0050478B" w:rsidP="0050478B">
      <w:pPr>
        <w:rPr>
          <w:sz w:val="24"/>
        </w:rPr>
      </w:pPr>
      <w:r>
        <w:rPr>
          <w:rFonts w:hint="eastAsia"/>
          <w:sz w:val="24"/>
        </w:rPr>
        <w:t>【生产企业】</w:t>
      </w:r>
    </w:p>
    <w:p w:rsidR="0050478B" w:rsidRDefault="0050478B" w:rsidP="0050478B">
      <w:pPr>
        <w:rPr>
          <w:rFonts w:hAnsi="宋体"/>
          <w:sz w:val="24"/>
        </w:rPr>
      </w:pPr>
      <w:r>
        <w:rPr>
          <w:sz w:val="24"/>
        </w:rPr>
        <w:t xml:space="preserve">    </w:t>
      </w:r>
      <w:r>
        <w:rPr>
          <w:rFonts w:hAnsi="宋体" w:hint="eastAsia"/>
          <w:sz w:val="24"/>
        </w:rPr>
        <w:t>企业名称：</w:t>
      </w:r>
      <w:r>
        <w:rPr>
          <w:rFonts w:ascii="宋体" w:hAnsi="宋体" w:hint="eastAsia"/>
          <w:sz w:val="24"/>
        </w:rPr>
        <w:t>海南制药厂有限公司制药二厂</w:t>
      </w:r>
      <w:r>
        <w:rPr>
          <w:rFonts w:hAnsi="宋体" w:hint="eastAsia"/>
          <w:sz w:val="24"/>
        </w:rPr>
        <w:t xml:space="preserve">　</w:t>
      </w:r>
    </w:p>
    <w:p w:rsidR="0050478B" w:rsidRDefault="0050478B" w:rsidP="0050478B">
      <w:pPr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生产地址：</w:t>
      </w:r>
      <w:r>
        <w:rPr>
          <w:rFonts w:hint="eastAsia"/>
          <w:sz w:val="24"/>
        </w:rPr>
        <w:t>林州市</w:t>
      </w:r>
      <w:proofErr w:type="gramStart"/>
      <w:r>
        <w:rPr>
          <w:rFonts w:hint="eastAsia"/>
          <w:sz w:val="24"/>
        </w:rPr>
        <w:t>史家河</w:t>
      </w:r>
      <w:proofErr w:type="gramEnd"/>
      <w:r>
        <w:rPr>
          <w:rFonts w:hint="eastAsia"/>
          <w:sz w:val="24"/>
        </w:rPr>
        <w:t>工业园区</w:t>
      </w:r>
    </w:p>
    <w:p w:rsidR="0050478B" w:rsidRDefault="0050478B" w:rsidP="0050478B">
      <w:pPr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邮政编码：</w:t>
      </w:r>
      <w:r>
        <w:rPr>
          <w:sz w:val="24"/>
        </w:rPr>
        <w:t>456592</w:t>
      </w:r>
    </w:p>
    <w:p w:rsidR="0050478B" w:rsidRDefault="0050478B" w:rsidP="0050478B">
      <w:pPr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电话号码：</w:t>
      </w:r>
      <w:r>
        <w:rPr>
          <w:rFonts w:hAnsi="宋体"/>
          <w:sz w:val="24"/>
        </w:rPr>
        <w:t>0372</w:t>
      </w:r>
      <w:r>
        <w:rPr>
          <w:rFonts w:hAnsi="宋体" w:hint="eastAsia"/>
          <w:sz w:val="24"/>
        </w:rPr>
        <w:t>－</w:t>
      </w:r>
      <w:r>
        <w:rPr>
          <w:rFonts w:hAnsi="宋体"/>
          <w:sz w:val="24"/>
        </w:rPr>
        <w:t>6515111</w:t>
      </w:r>
    </w:p>
    <w:p w:rsidR="0050478B" w:rsidRDefault="0050478B" w:rsidP="0050478B">
      <w:pPr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传真号码：</w:t>
      </w:r>
      <w:r>
        <w:rPr>
          <w:rFonts w:hAnsi="宋体"/>
          <w:sz w:val="24"/>
        </w:rPr>
        <w:t>0372</w:t>
      </w:r>
      <w:r>
        <w:rPr>
          <w:rFonts w:hAnsi="宋体" w:hint="eastAsia"/>
          <w:sz w:val="24"/>
        </w:rPr>
        <w:t>－</w:t>
      </w:r>
      <w:r>
        <w:rPr>
          <w:rFonts w:hAnsi="宋体"/>
          <w:sz w:val="24"/>
        </w:rPr>
        <w:t>6515111</w:t>
      </w:r>
    </w:p>
    <w:p w:rsidR="0050478B" w:rsidRDefault="0050478B" w:rsidP="0050478B">
      <w:pPr>
        <w:rPr>
          <w:rFonts w:hAnsi="宋体"/>
          <w:sz w:val="24"/>
        </w:rPr>
      </w:pPr>
      <w:r>
        <w:rPr>
          <w:rFonts w:ascii="黑体" w:eastAsia="黑体" w:hAnsi="宋体" w:hint="eastAsia"/>
          <w:b/>
          <w:sz w:val="24"/>
        </w:rPr>
        <w:t>如有问题可与生产企业联系</w:t>
      </w:r>
    </w:p>
    <w:sectPr w:rsidR="00504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6E" w:rsidRDefault="000F186E" w:rsidP="00325AA4">
      <w:r>
        <w:separator/>
      </w:r>
    </w:p>
  </w:endnote>
  <w:endnote w:type="continuationSeparator" w:id="0">
    <w:p w:rsidR="000F186E" w:rsidRDefault="000F186E" w:rsidP="0032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6E" w:rsidRDefault="000F186E" w:rsidP="00325AA4">
      <w:r>
        <w:separator/>
      </w:r>
    </w:p>
  </w:footnote>
  <w:footnote w:type="continuationSeparator" w:id="0">
    <w:p w:rsidR="000F186E" w:rsidRDefault="000F186E" w:rsidP="00325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98"/>
    <w:rsid w:val="000F186E"/>
    <w:rsid w:val="00155311"/>
    <w:rsid w:val="002314A2"/>
    <w:rsid w:val="00325AA4"/>
    <w:rsid w:val="004D1898"/>
    <w:rsid w:val="00500CBF"/>
    <w:rsid w:val="0050478B"/>
    <w:rsid w:val="007B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D1898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4D189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325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5AA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25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25AA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D1898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4D189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325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5AA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25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25A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1044</Characters>
  <Application>Microsoft Office Word</Application>
  <DocSecurity>0</DocSecurity>
  <Lines>8</Lines>
  <Paragraphs>2</Paragraphs>
  <ScaleCrop>false</ScaleCrop>
  <Company>2012dnd.com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1</cp:revision>
  <dcterms:created xsi:type="dcterms:W3CDTF">2024-08-07T08:21:00Z</dcterms:created>
  <dcterms:modified xsi:type="dcterms:W3CDTF">2025-01-13T03:15:00Z</dcterms:modified>
</cp:coreProperties>
</file>