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41B" w:rsidRPr="0016241B" w:rsidRDefault="0016241B" w:rsidP="0016241B">
      <w:pPr>
        <w:spacing w:line="360" w:lineRule="auto"/>
        <w:rPr>
          <w:rFonts w:ascii="宋体" w:hAnsi="宋体"/>
          <w:sz w:val="24"/>
        </w:rPr>
      </w:pPr>
      <w:r w:rsidRPr="0016241B">
        <w:rPr>
          <w:rFonts w:ascii="宋体" w:hAnsi="宋体"/>
          <w:sz w:val="24"/>
        </w:rPr>
        <w:t>核准日期：</w:t>
      </w:r>
      <w:r w:rsidRPr="0016241B">
        <w:rPr>
          <w:rFonts w:ascii="宋体" w:hAnsi="宋体" w:hint="eastAsia"/>
          <w:sz w:val="24"/>
        </w:rPr>
        <w:t>2007年07月18日</w:t>
      </w:r>
    </w:p>
    <w:p w:rsidR="0016241B" w:rsidRPr="0016241B" w:rsidRDefault="0016241B" w:rsidP="0016241B">
      <w:pPr>
        <w:spacing w:line="360" w:lineRule="auto"/>
        <w:rPr>
          <w:rFonts w:ascii="宋体" w:hAnsi="宋体"/>
          <w:sz w:val="24"/>
        </w:rPr>
      </w:pPr>
      <w:r w:rsidRPr="0016241B">
        <w:rPr>
          <w:rFonts w:ascii="宋体" w:hAnsi="宋体" w:hint="eastAsia"/>
          <w:sz w:val="24"/>
        </w:rPr>
        <w:t xml:space="preserve">修订日期：2023年02月10日           </w:t>
      </w:r>
    </w:p>
    <w:p w:rsidR="0016241B" w:rsidRPr="004F6CE7" w:rsidRDefault="0016241B" w:rsidP="0016241B">
      <w:pPr>
        <w:jc w:val="center"/>
        <w:rPr>
          <w:rFonts w:ascii="宋体" w:hAnsi="宋体"/>
          <w:b/>
          <w:sz w:val="32"/>
          <w:szCs w:val="32"/>
        </w:rPr>
      </w:pPr>
      <w:bookmarkStart w:id="0" w:name="_GoBack"/>
      <w:r w:rsidRPr="004F6CE7">
        <w:rPr>
          <w:rFonts w:ascii="宋体" w:hAnsi="宋体" w:hint="eastAsia"/>
          <w:b/>
          <w:sz w:val="32"/>
          <w:szCs w:val="32"/>
        </w:rPr>
        <w:t>盐酸克林霉素</w:t>
      </w:r>
      <w:r w:rsidRPr="004F6CE7">
        <w:rPr>
          <w:rFonts w:ascii="宋体" w:hAnsi="宋体"/>
          <w:b/>
          <w:sz w:val="32"/>
          <w:szCs w:val="32"/>
        </w:rPr>
        <w:t>注射液说明书</w:t>
      </w:r>
    </w:p>
    <w:bookmarkEnd w:id="0"/>
    <w:p w:rsidR="0016241B" w:rsidRPr="0016241B" w:rsidRDefault="0016241B" w:rsidP="0016241B">
      <w:pPr>
        <w:jc w:val="center"/>
        <w:rPr>
          <w:rFonts w:ascii="宋体" w:hAnsi="宋体"/>
          <w:b/>
          <w:sz w:val="24"/>
        </w:rPr>
      </w:pPr>
      <w:r w:rsidRPr="0016241B">
        <w:rPr>
          <w:rFonts w:ascii="宋体" w:hAnsi="宋体"/>
          <w:b/>
          <w:sz w:val="24"/>
        </w:rPr>
        <w:t>请仔细阅读说明书并在医师指导下使用</w:t>
      </w:r>
    </w:p>
    <w:p w:rsidR="0016241B" w:rsidRPr="0016241B" w:rsidRDefault="0016241B" w:rsidP="0016241B">
      <w:pPr>
        <w:ind w:firstLine="628"/>
        <w:jc w:val="center"/>
        <w:rPr>
          <w:rFonts w:ascii="宋体" w:hAnsi="宋体"/>
          <w:sz w:val="24"/>
        </w:rPr>
      </w:pP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【药品名称】</w:t>
      </w: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通用名称：盐酸克林霉素注射液</w:t>
      </w: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英文名称：Clindamycin</w:t>
      </w:r>
      <w:r w:rsidRPr="0016241B">
        <w:rPr>
          <w:rFonts w:ascii="宋体" w:hAnsi="宋体"/>
          <w:sz w:val="24"/>
        </w:rPr>
        <w:t xml:space="preserve"> Hydrochloride Injection</w:t>
      </w: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汉语拼音：</w:t>
      </w:r>
      <w:proofErr w:type="spellStart"/>
      <w:r w:rsidRPr="0016241B">
        <w:rPr>
          <w:rFonts w:ascii="宋体" w:hAnsi="宋体" w:hint="eastAsia"/>
          <w:sz w:val="24"/>
        </w:rPr>
        <w:t>Yansuan</w:t>
      </w:r>
      <w:proofErr w:type="spellEnd"/>
      <w:r w:rsidRPr="0016241B">
        <w:rPr>
          <w:rFonts w:ascii="宋体" w:hAnsi="宋体"/>
          <w:sz w:val="24"/>
        </w:rPr>
        <w:t xml:space="preserve"> </w:t>
      </w:r>
      <w:proofErr w:type="spellStart"/>
      <w:r w:rsidRPr="0016241B">
        <w:rPr>
          <w:rFonts w:ascii="宋体" w:hAnsi="宋体"/>
          <w:sz w:val="24"/>
        </w:rPr>
        <w:t>Kelinmeisu</w:t>
      </w:r>
      <w:proofErr w:type="spellEnd"/>
      <w:r w:rsidRPr="0016241B">
        <w:rPr>
          <w:rFonts w:ascii="宋体" w:hAnsi="宋体"/>
          <w:sz w:val="24"/>
        </w:rPr>
        <w:t xml:space="preserve"> </w:t>
      </w:r>
      <w:proofErr w:type="spellStart"/>
      <w:r w:rsidRPr="0016241B">
        <w:rPr>
          <w:rFonts w:ascii="宋体" w:hAnsi="宋体"/>
          <w:sz w:val="24"/>
        </w:rPr>
        <w:t>Zhusheye</w:t>
      </w:r>
      <w:proofErr w:type="spellEnd"/>
    </w:p>
    <w:p w:rsidR="0016241B" w:rsidRPr="0016241B" w:rsidRDefault="0016241B" w:rsidP="0016241B">
      <w:pPr>
        <w:spacing w:line="360" w:lineRule="exact"/>
        <w:jc w:val="left"/>
        <w:rPr>
          <w:rFonts w:ascii="宋体" w:hAnsi="宋体"/>
          <w:sz w:val="24"/>
        </w:rPr>
      </w:pPr>
      <w:r w:rsidRPr="0016241B">
        <w:rPr>
          <w:rFonts w:ascii="宋体" w:hAnsi="宋体" w:hint="eastAsia"/>
          <w:sz w:val="24"/>
        </w:rPr>
        <w:t>【成份】本品主要成份为盐酸克林霉素。</w:t>
      </w:r>
    </w:p>
    <w:p w:rsidR="0016241B" w:rsidRPr="0016241B" w:rsidRDefault="0016241B" w:rsidP="0016241B">
      <w:pPr>
        <w:spacing w:line="360" w:lineRule="exact"/>
        <w:ind w:firstLineChars="200" w:firstLine="480"/>
        <w:jc w:val="left"/>
        <w:rPr>
          <w:rFonts w:ascii="宋体" w:hAnsi="宋体"/>
          <w:sz w:val="24"/>
        </w:rPr>
      </w:pPr>
      <w:r w:rsidRPr="0016241B">
        <w:rPr>
          <w:rFonts w:ascii="宋体" w:hAnsi="宋体" w:hint="eastAsia"/>
          <w:sz w:val="24"/>
        </w:rPr>
        <w:t>化学名称：6-（1-甲基-反-4-丙基-L-2-吡咯</w:t>
      </w:r>
      <w:proofErr w:type="gramStart"/>
      <w:r w:rsidRPr="0016241B">
        <w:rPr>
          <w:rFonts w:ascii="宋体" w:hAnsi="宋体" w:hint="eastAsia"/>
          <w:sz w:val="24"/>
        </w:rPr>
        <w:t>烷</w:t>
      </w:r>
      <w:proofErr w:type="gramEnd"/>
      <w:r w:rsidRPr="0016241B">
        <w:rPr>
          <w:rFonts w:ascii="宋体" w:hAnsi="宋体" w:hint="eastAsia"/>
          <w:sz w:val="24"/>
        </w:rPr>
        <w:t>甲酰氨基）-1-硫代-7（</w:t>
      </w:r>
      <w:r w:rsidRPr="0016241B">
        <w:rPr>
          <w:rFonts w:ascii="宋体" w:hAnsi="宋体"/>
          <w:i/>
          <w:sz w:val="24"/>
        </w:rPr>
        <w:t>S</w:t>
      </w:r>
      <w:r w:rsidRPr="0016241B">
        <w:rPr>
          <w:rFonts w:ascii="宋体" w:hAnsi="宋体" w:hint="eastAsia"/>
          <w:sz w:val="24"/>
        </w:rPr>
        <w:t>）-氯-6，7，8-三脱氧-L-苏式-</w:t>
      </w:r>
      <w:r w:rsidRPr="0016241B">
        <w:rPr>
          <w:rFonts w:ascii="宋体" w:hAnsi="宋体"/>
          <w:sz w:val="24"/>
        </w:rPr>
        <w:t>α</w:t>
      </w:r>
      <w:r w:rsidRPr="0016241B">
        <w:rPr>
          <w:rFonts w:ascii="宋体" w:hAnsi="宋体" w:hint="eastAsia"/>
          <w:sz w:val="24"/>
        </w:rPr>
        <w:t>-D-半</w:t>
      </w:r>
      <w:proofErr w:type="gramStart"/>
      <w:r w:rsidRPr="0016241B">
        <w:rPr>
          <w:rFonts w:ascii="宋体" w:hAnsi="宋体" w:hint="eastAsia"/>
          <w:sz w:val="24"/>
        </w:rPr>
        <w:t>乳辛吡喃糖苷</w:t>
      </w:r>
      <w:proofErr w:type="gramEnd"/>
      <w:r w:rsidRPr="0016241B">
        <w:rPr>
          <w:rFonts w:ascii="宋体" w:hAnsi="宋体" w:hint="eastAsia"/>
          <w:sz w:val="24"/>
        </w:rPr>
        <w:t>盐酸盐。</w:t>
      </w:r>
    </w:p>
    <w:p w:rsidR="0016241B" w:rsidRPr="0016241B" w:rsidRDefault="0016241B" w:rsidP="0016241B">
      <w:pPr>
        <w:spacing w:line="360" w:lineRule="exact"/>
        <w:ind w:firstLine="480"/>
        <w:jc w:val="left"/>
        <w:rPr>
          <w:rFonts w:ascii="宋体" w:hAnsi="宋体"/>
          <w:sz w:val="24"/>
        </w:rPr>
      </w:pPr>
      <w:r w:rsidRPr="0016241B">
        <w:rPr>
          <w:rFonts w:ascii="宋体" w:hAnsi="宋体" w:hint="eastAsia"/>
          <w:sz w:val="24"/>
        </w:rPr>
        <w:t>化学结构式：</w:t>
      </w:r>
    </w:p>
    <w:p w:rsidR="0016241B" w:rsidRPr="0016241B" w:rsidRDefault="0016241B" w:rsidP="0016241B">
      <w:pPr>
        <w:spacing w:line="360" w:lineRule="auto"/>
        <w:ind w:firstLine="480"/>
        <w:jc w:val="left"/>
        <w:rPr>
          <w:rFonts w:ascii="宋体" w:hAnsi="宋体"/>
        </w:rPr>
      </w:pPr>
      <w:r w:rsidRPr="0016241B">
        <w:rPr>
          <w:rFonts w:ascii="宋体" w:hAnsi="宋体"/>
          <w:noProof/>
        </w:rPr>
        <w:drawing>
          <wp:anchor distT="0" distB="0" distL="114300" distR="114300" simplePos="0" relativeHeight="251659264" behindDoc="0" locked="0" layoutInCell="1" allowOverlap="1" wp14:anchorId="2CF8B5F6" wp14:editId="5C697A27">
            <wp:simplePos x="0" y="0"/>
            <wp:positionH relativeFrom="column">
              <wp:posOffset>800100</wp:posOffset>
            </wp:positionH>
            <wp:positionV relativeFrom="paragraph">
              <wp:posOffset>198120</wp:posOffset>
            </wp:positionV>
            <wp:extent cx="3086100" cy="15716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610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41B" w:rsidRPr="0016241B" w:rsidRDefault="0016241B" w:rsidP="0016241B">
      <w:pPr>
        <w:spacing w:line="360" w:lineRule="auto"/>
        <w:ind w:firstLine="480"/>
        <w:jc w:val="left"/>
        <w:rPr>
          <w:rFonts w:ascii="宋体" w:hAnsi="宋体"/>
        </w:rPr>
      </w:pPr>
    </w:p>
    <w:p w:rsidR="0016241B" w:rsidRPr="0016241B" w:rsidRDefault="0016241B" w:rsidP="0016241B">
      <w:pPr>
        <w:spacing w:line="360" w:lineRule="auto"/>
        <w:jc w:val="left"/>
        <w:rPr>
          <w:rFonts w:ascii="宋体" w:hAnsi="宋体"/>
        </w:rPr>
      </w:pPr>
    </w:p>
    <w:p w:rsidR="0016241B" w:rsidRPr="0016241B" w:rsidRDefault="0016241B" w:rsidP="0016241B">
      <w:pPr>
        <w:spacing w:line="360" w:lineRule="auto"/>
        <w:jc w:val="left"/>
        <w:rPr>
          <w:rFonts w:ascii="宋体" w:hAnsi="宋体"/>
        </w:rPr>
      </w:pPr>
    </w:p>
    <w:p w:rsidR="0016241B" w:rsidRPr="0016241B" w:rsidRDefault="0016241B" w:rsidP="0016241B">
      <w:pPr>
        <w:spacing w:line="360" w:lineRule="auto"/>
        <w:jc w:val="left"/>
        <w:rPr>
          <w:rFonts w:ascii="宋体" w:hAnsi="宋体"/>
        </w:rPr>
      </w:pPr>
    </w:p>
    <w:p w:rsidR="0016241B" w:rsidRPr="0016241B" w:rsidRDefault="0016241B" w:rsidP="0016241B">
      <w:pPr>
        <w:spacing w:line="360" w:lineRule="auto"/>
        <w:ind w:firstLineChars="100" w:firstLine="210"/>
        <w:jc w:val="left"/>
        <w:rPr>
          <w:rFonts w:ascii="宋体" w:hAnsi="宋体"/>
        </w:rPr>
      </w:pP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分子式：</w:t>
      </w:r>
      <w:r w:rsidRPr="0016241B">
        <w:rPr>
          <w:rFonts w:ascii="宋体" w:hAnsi="宋体" w:cs="宋体" w:hint="eastAsia"/>
          <w:sz w:val="24"/>
        </w:rPr>
        <w:t></w:t>
      </w:r>
      <w:r w:rsidRPr="0016241B">
        <w:rPr>
          <w:rFonts w:ascii="宋体" w:hAnsi="宋体" w:hint="eastAsia"/>
          <w:sz w:val="24"/>
        </w:rPr>
        <w:t>C</w:t>
      </w:r>
      <w:r w:rsidRPr="0016241B">
        <w:rPr>
          <w:rFonts w:ascii="宋体" w:hAnsi="宋体"/>
          <w:sz w:val="24"/>
          <w:vertAlign w:val="subscript"/>
        </w:rPr>
        <w:t>18</w:t>
      </w:r>
      <w:r w:rsidRPr="0016241B">
        <w:rPr>
          <w:rFonts w:ascii="宋体" w:hAnsi="宋体"/>
          <w:sz w:val="24"/>
        </w:rPr>
        <w:t>H</w:t>
      </w:r>
      <w:r w:rsidRPr="0016241B">
        <w:rPr>
          <w:rFonts w:ascii="宋体" w:hAnsi="宋体"/>
          <w:sz w:val="24"/>
          <w:vertAlign w:val="subscript"/>
        </w:rPr>
        <w:t>33</w:t>
      </w:r>
      <w:r w:rsidRPr="0016241B">
        <w:rPr>
          <w:rFonts w:ascii="宋体" w:hAnsi="宋体"/>
          <w:sz w:val="24"/>
        </w:rPr>
        <w:t>ClN</w:t>
      </w:r>
      <w:r w:rsidRPr="0016241B">
        <w:rPr>
          <w:rFonts w:ascii="宋体" w:hAnsi="宋体"/>
          <w:sz w:val="24"/>
          <w:vertAlign w:val="subscript"/>
        </w:rPr>
        <w:t>2</w:t>
      </w:r>
      <w:r w:rsidRPr="0016241B">
        <w:rPr>
          <w:rFonts w:ascii="宋体" w:hAnsi="宋体"/>
          <w:sz w:val="24"/>
        </w:rPr>
        <w:t>O</w:t>
      </w:r>
      <w:r w:rsidRPr="0016241B">
        <w:rPr>
          <w:rFonts w:ascii="宋体" w:hAnsi="宋体"/>
          <w:sz w:val="24"/>
          <w:vertAlign w:val="subscript"/>
        </w:rPr>
        <w:t>5</w:t>
      </w:r>
      <w:r w:rsidRPr="0016241B">
        <w:rPr>
          <w:rFonts w:ascii="宋体" w:hAnsi="宋体"/>
          <w:sz w:val="24"/>
        </w:rPr>
        <w:t>S·HCl</w:t>
      </w: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分子量：</w:t>
      </w:r>
      <w:r w:rsidRPr="0016241B">
        <w:rPr>
          <w:rFonts w:ascii="宋体" w:hAnsi="宋体" w:cs="宋体" w:hint="eastAsia"/>
          <w:sz w:val="24"/>
        </w:rPr>
        <w:t></w:t>
      </w:r>
      <w:r w:rsidRPr="0016241B">
        <w:rPr>
          <w:rFonts w:ascii="宋体" w:hAnsi="宋体"/>
          <w:sz w:val="24"/>
        </w:rPr>
        <w:t>461.44</w:t>
      </w:r>
    </w:p>
    <w:p w:rsidR="0016241B" w:rsidRPr="0016241B" w:rsidRDefault="0016241B" w:rsidP="0016241B">
      <w:pPr>
        <w:spacing w:line="360" w:lineRule="exact"/>
        <w:ind w:firstLineChars="100" w:firstLine="240"/>
        <w:jc w:val="left"/>
        <w:rPr>
          <w:rFonts w:ascii="宋体" w:hAnsi="宋体"/>
          <w:sz w:val="24"/>
        </w:rPr>
      </w:pPr>
      <w:r w:rsidRPr="0016241B">
        <w:rPr>
          <w:rFonts w:ascii="宋体" w:hAnsi="宋体" w:hint="eastAsia"/>
          <w:sz w:val="24"/>
        </w:rPr>
        <w:t>辅料为：焦亚硫酸钠、醋酸钠、冰醋酸、注射用水。</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【性状】本品为无色或几乎无色的澄明液体。</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【适应症】本品适用于链球菌属、</w:t>
      </w:r>
      <w:proofErr w:type="gramStart"/>
      <w:r w:rsidRPr="0016241B">
        <w:rPr>
          <w:rFonts w:ascii="宋体" w:hAnsi="宋体" w:hint="eastAsia"/>
          <w:sz w:val="24"/>
        </w:rPr>
        <w:t>葡萄球菌属及厌氧菌</w:t>
      </w:r>
      <w:proofErr w:type="gramEnd"/>
      <w:r w:rsidRPr="0016241B">
        <w:rPr>
          <w:rFonts w:ascii="宋体" w:hAnsi="宋体" w:hint="eastAsia"/>
          <w:sz w:val="24"/>
        </w:rPr>
        <w:t>（包括脆弱拟杆菌、产气荚膜杆菌、放线菌等）所致的中、重感染，如吸入性肺炎、脓胸、肺脓肿、骨髓</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炎、腹腔感染、盆腔感染及败血症等。</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【规    格】</w:t>
      </w:r>
      <w:r w:rsidRPr="0016241B">
        <w:rPr>
          <w:rFonts w:ascii="宋体" w:hAnsi="宋体" w:cs="宋体" w:hint="eastAsia"/>
          <w:sz w:val="24"/>
        </w:rPr>
        <w:t></w:t>
      </w:r>
      <w:r w:rsidRPr="0016241B">
        <w:rPr>
          <w:rFonts w:ascii="宋体" w:hAnsi="宋体" w:hint="eastAsia"/>
          <w:sz w:val="24"/>
        </w:rPr>
        <w:t>2</w:t>
      </w:r>
      <w:r w:rsidRPr="0016241B">
        <w:rPr>
          <w:rFonts w:ascii="宋体" w:hAnsi="宋体"/>
          <w:sz w:val="24"/>
        </w:rPr>
        <w:t>ml:0.15g</w:t>
      </w:r>
      <w:r w:rsidRPr="0016241B">
        <w:rPr>
          <w:rFonts w:ascii="宋体" w:hAnsi="宋体" w:hint="eastAsia"/>
          <w:sz w:val="24"/>
        </w:rPr>
        <w:t>（以克林霉素计）</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【用法用量】肌内注射或静脉滴注。成人：一日0.6～1.2g，分2～4次应用；严重感染：一日1.2～2.4g，分2～4次静脉滴注。4周及4周以上小儿：一日15～25mg/kg，分3～4次应用；严重感染：一日25～40mg/ kg，分3～4次应用。本品肌内注射的用量1次不能超过600mg，超过此剂量应改为静脉给药。静脉给药速度不宜过快，600mg的本品应加入不少于100ml的输液中，至少滴注20分钟。1小时输入的药量不能超过1200mg。</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【不良反应】</w:t>
      </w:r>
      <w:r w:rsidRPr="0016241B">
        <w:rPr>
          <w:rFonts w:ascii="宋体" w:hAnsi="宋体" w:cs="宋体" w:hint="eastAsia"/>
          <w:kern w:val="0"/>
          <w:sz w:val="24"/>
        </w:rPr>
        <w:t>国外文献显示，克林霉素磷酸</w:t>
      </w:r>
      <w:proofErr w:type="gramStart"/>
      <w:r w:rsidRPr="0016241B">
        <w:rPr>
          <w:rFonts w:ascii="宋体" w:hAnsi="宋体" w:cs="宋体" w:hint="eastAsia"/>
          <w:kern w:val="0"/>
          <w:sz w:val="24"/>
        </w:rPr>
        <w:t>酯</w:t>
      </w:r>
      <w:proofErr w:type="gramEnd"/>
      <w:r w:rsidRPr="0016241B">
        <w:rPr>
          <w:rFonts w:ascii="宋体" w:hAnsi="宋体" w:cs="宋体" w:hint="eastAsia"/>
          <w:kern w:val="0"/>
          <w:sz w:val="24"/>
        </w:rPr>
        <w:t>注射剂不良反应情况如下：</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（1）胃肠道反应：常见恶心、呕吐、腹痛、腹泻等；严重者有腹绞痛、腹部压</w:t>
      </w:r>
      <w:r w:rsidRPr="0016241B">
        <w:rPr>
          <w:rFonts w:ascii="宋体" w:hAnsi="宋体" w:hint="eastAsia"/>
          <w:sz w:val="24"/>
        </w:rPr>
        <w:lastRenderedPageBreak/>
        <w:t>痛、严重腹泻（水样或脓血样），伴发热、异常口渴和疲乏。腹泻、肠炎和假膜性肠炎可发生在用药初期，也可发生在停药后数周。（2）血液系统：偶可发生白细胞减少、中性粒细胞减少、嗜酸性粒细胞增多和血小板减少等；罕见再生障碍性贫血。（3）过敏反应：可见皮疹、瘙痒等，偶见荨麻疹、血管神经性水肿和血清病反应等，罕见剥脱性皮炎、大疱性皮炎、多形性红斑和Steven-Johnson综合征。（4）肝、肾功能异常，如血清氨基转移酶升高、黄疸等。（5）静脉滴注可能引起静脉炎；肌内注射局部可能出现疼痛、硬结和无菌性脓肿。（6）其他：耳鸣、眩晕、念珠</w:t>
      </w:r>
      <w:proofErr w:type="gramStart"/>
      <w:r w:rsidRPr="0016241B">
        <w:rPr>
          <w:rFonts w:ascii="宋体" w:hAnsi="宋体" w:hint="eastAsia"/>
          <w:sz w:val="24"/>
        </w:rPr>
        <w:t>菌</w:t>
      </w:r>
      <w:proofErr w:type="gramEnd"/>
      <w:r w:rsidRPr="0016241B">
        <w:rPr>
          <w:rFonts w:ascii="宋体" w:hAnsi="宋体" w:hint="eastAsia"/>
          <w:sz w:val="24"/>
        </w:rPr>
        <w:t>感染等。</w:t>
      </w:r>
    </w:p>
    <w:p w:rsidR="0016241B" w:rsidRPr="0016241B" w:rsidRDefault="0016241B" w:rsidP="0016241B">
      <w:pPr>
        <w:spacing w:line="360" w:lineRule="exact"/>
        <w:ind w:firstLineChars="200" w:firstLine="480"/>
        <w:jc w:val="left"/>
        <w:rPr>
          <w:rFonts w:ascii="ˎ̥" w:hAnsi="ˎ̥" w:cs="宋体"/>
          <w:kern w:val="0"/>
          <w:sz w:val="24"/>
        </w:rPr>
      </w:pPr>
      <w:proofErr w:type="gramStart"/>
      <w:r w:rsidRPr="0016241B">
        <w:rPr>
          <w:rFonts w:ascii="ˎ̥" w:hAnsi="ˎ̥" w:cs="宋体"/>
          <w:kern w:val="0"/>
          <w:sz w:val="24"/>
        </w:rPr>
        <w:t>国内克</w:t>
      </w:r>
      <w:proofErr w:type="gramEnd"/>
      <w:r w:rsidRPr="0016241B">
        <w:rPr>
          <w:rFonts w:ascii="ˎ̥" w:hAnsi="ˎ̥" w:cs="宋体"/>
          <w:kern w:val="0"/>
          <w:sz w:val="24"/>
        </w:rPr>
        <w:t>林霉素磷酸酯和盐酸克林霉素注射剂的不良反应报道有使用本品可能引起肾功能损害和血尿，另有极少数严重病例出现的不良反应包括呼吸困难、过敏性休克、急性肾功能衰竭、过敏性紫癜、抽搐、肝功能异常、胸闷、心悸、寒战、高热、头晕、低血压、耳鸣、听力下降等。</w:t>
      </w:r>
    </w:p>
    <w:p w:rsidR="0016241B" w:rsidRPr="0016241B" w:rsidRDefault="0016241B" w:rsidP="0016241B">
      <w:pPr>
        <w:spacing w:line="360" w:lineRule="exact"/>
        <w:jc w:val="left"/>
        <w:outlineLvl w:val="0"/>
        <w:rPr>
          <w:rFonts w:ascii="宋体" w:hAnsi="宋体"/>
          <w:sz w:val="24"/>
        </w:rPr>
      </w:pPr>
      <w:r w:rsidRPr="0016241B">
        <w:rPr>
          <w:rFonts w:ascii="宋体" w:hAnsi="宋体" w:hint="eastAsia"/>
          <w:sz w:val="24"/>
        </w:rPr>
        <w:t>【禁忌】</w:t>
      </w:r>
      <w:r w:rsidRPr="0016241B">
        <w:rPr>
          <w:rFonts w:ascii="宋体" w:hAnsi="宋体" w:cs="宋体" w:hint="eastAsia"/>
          <w:sz w:val="24"/>
        </w:rPr>
        <w:t>对本品和林可霉素类过敏者禁用。</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【注意事项】</w:t>
      </w:r>
      <w:r w:rsidRPr="0016241B">
        <w:rPr>
          <w:rFonts w:ascii="宋体" w:hAnsi="宋体" w:cs="宋体" w:hint="eastAsia"/>
          <w:sz w:val="24"/>
        </w:rPr>
        <w:t>（</w:t>
      </w:r>
      <w:r w:rsidRPr="0016241B">
        <w:rPr>
          <w:rFonts w:ascii="宋体" w:hAnsi="宋体" w:hint="eastAsia"/>
          <w:sz w:val="24"/>
        </w:rPr>
        <w:t>1）下列情况应慎用：①胃肠道疾病或有既往史者，特别是溃疡性结肠炎、局限性肠炎或抗生素相关肠炎（本品可引起假膜性肠炎）。②肝功能减退。③肾功能严重减退。④有哮喘或其他过敏史者。（2）对本品过敏时有可能对其他克林霉素类也过敏。（3）对实验室检查指标的干扰：服药后血清丙氨酸氨基转移酶和门冬氨酸氨基转移酶可有增高。（4）用药期间需密切注意大便次数，如出现排便次数增多，应注意假膜性肠炎的可能，需及时停药并作适当处理。轻症患者停药后即可能恢复；中等至重症患者需补充水、电解质和蛋白质。如经上</w:t>
      </w:r>
    </w:p>
    <w:p w:rsidR="0016241B" w:rsidRPr="0016241B" w:rsidRDefault="0016241B" w:rsidP="0016241B">
      <w:pPr>
        <w:spacing w:line="360" w:lineRule="exact"/>
        <w:jc w:val="left"/>
        <w:rPr>
          <w:rFonts w:ascii="宋体" w:hAnsi="宋体"/>
          <w:sz w:val="24"/>
        </w:rPr>
      </w:pPr>
      <w:proofErr w:type="gramStart"/>
      <w:r w:rsidRPr="0016241B">
        <w:rPr>
          <w:rFonts w:ascii="宋体" w:hAnsi="宋体" w:hint="eastAsia"/>
          <w:sz w:val="24"/>
        </w:rPr>
        <w:t>述处理</w:t>
      </w:r>
      <w:proofErr w:type="gramEnd"/>
      <w:r w:rsidRPr="0016241B">
        <w:rPr>
          <w:rFonts w:ascii="宋体" w:hAnsi="宋体" w:hint="eastAsia"/>
          <w:sz w:val="24"/>
        </w:rPr>
        <w:t>无效，则应口服甲硝唑250～500mg，一日3次。如复发，可再次口服甲</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硝唑，仍无效时可改用万古霉素(或者去甲万古霉素)口服，一次125～500mg，每6小时1次，疗程5～10日。（5）为防止急性风湿热的发生，用本品治疗溶血性链球菌感染时，疗程至少为10日。（6）本品偶尔会导致不敏感微生物的过度繁殖或引起二重感染，一旦发生二重感染，应立即停药并采取相应措施。（7）疗</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程长者，需定期检测肝、肾功能和血常规。（8）严重肾功能减退和（或）严重肝功能减退，伴严重代谢异常者，采用高剂量时需进行血药浓度监测。（9）本品不能透过血脑脊液屏障，故不能用于脑膜炎。（10）不同细菌对本品的敏感性可有相当大的差异，故药敏试验有重要意义。</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【孕妇及哺乳期妇女用药】（1）动物实验显示本品对胎儿无影响，但应用于孕妇尚缺乏经验，且本品可透过胎盘，故孕妇慎用。（2）本品可分泌至母乳中，故哺乳期妇女慎用，使用本品时暂停哺乳。</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【儿童用药】出生4周以内的婴儿禁用本品。其他小儿服用本品时应注意观察重要器官的功能。</w:t>
      </w:r>
    </w:p>
    <w:p w:rsidR="0016241B" w:rsidRPr="0016241B" w:rsidRDefault="0016241B" w:rsidP="0016241B">
      <w:pPr>
        <w:pStyle w:val="a3"/>
        <w:spacing w:line="360" w:lineRule="exact"/>
        <w:jc w:val="left"/>
        <w:rPr>
          <w:rFonts w:ascii="宋体" w:hAnsi="宋体"/>
          <w:sz w:val="24"/>
        </w:rPr>
      </w:pPr>
      <w:r w:rsidRPr="0016241B">
        <w:rPr>
          <w:rFonts w:ascii="宋体" w:hAnsi="宋体" w:hint="eastAsia"/>
          <w:sz w:val="24"/>
        </w:rPr>
        <w:t>【老年用药】患有严重基础疾病的老年人易发生腹泻或假膜性肠炎等不良反应，用药时需密切观察。</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药物相互作用】（1）本品可增强吸入性麻醉药的神经肌肉阻断现象，导致骨骼肌软弱和呼吸抑制或麻痹（呼吸暂停），在手术中或术后使用时应注意。以抗胆碱酯酶药物或钙盐治疗可望有效。（2）本品与抗蠕动止泻药、含白陶土止泻药合用，在疗程中甚至在疗程后数周有引起伴严重水样腹泻的假膜性肠炎可能。因可使结肠内毒素延迟排出，从而导致腹泻延长和加剧，故本品不宜与抗蠕动止泻药合用。与含白陶土止泻药合用时，本品的吸收将显著减少，故两者不宜同时服用，需间隔一定时间（至少2小时）。（3）本品具神经肌肉阻断作用，可增强神经肌肉阻断药的作用，两者应避免合用。本品与抗肌无力药合用时将导致后者对骨骼肌的效果减弱，为控制重症肌无力的症状，在</w:t>
      </w:r>
      <w:proofErr w:type="gramStart"/>
      <w:r w:rsidRPr="0016241B">
        <w:rPr>
          <w:rFonts w:ascii="宋体" w:hAnsi="宋体" w:hint="eastAsia"/>
          <w:sz w:val="24"/>
        </w:rPr>
        <w:t>合用时抗肌无力</w:t>
      </w:r>
      <w:proofErr w:type="gramEnd"/>
      <w:r w:rsidRPr="0016241B">
        <w:rPr>
          <w:rFonts w:ascii="宋体" w:hAnsi="宋体" w:hint="eastAsia"/>
          <w:sz w:val="24"/>
        </w:rPr>
        <w:t>药的剂量应予调整。（4）氯霉素或红霉素在靶位上均可置换本品，或阻抑本品与细菌核糖体50S亚基的结合，体外试验显示本品与红霉素具拮抗作用，故本品不宜与氯霉素或红霉素合用。（5）与阿片类镇痛药合用时，本品的呼吸抑制作用与阿片类的中枢呼吸抑制作用可因相加而有导致呼吸抑制延长或引起呼吸麻痹（呼吸暂停）的可能，故必须对病人进行密切观察或监护。（6）本品不宜加入组份复杂的输液中，以免发生配伍禁忌。</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【药物过量】</w:t>
      </w:r>
      <w:r w:rsidRPr="0016241B">
        <w:rPr>
          <w:rFonts w:ascii="宋体" w:hAnsi="宋体" w:cs="宋体" w:hint="eastAsia"/>
          <w:sz w:val="24"/>
        </w:rPr>
        <w:t>尚不明确。</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【药理毒理】本品属林可霉素类抗生素。为林可霉素的衍生物，抗菌谱与林可</w:t>
      </w:r>
      <w:proofErr w:type="gramStart"/>
      <w:r w:rsidRPr="0016241B">
        <w:rPr>
          <w:rFonts w:ascii="宋体" w:hAnsi="宋体" w:hint="eastAsia"/>
          <w:sz w:val="24"/>
        </w:rPr>
        <w:t>霉</w:t>
      </w:r>
      <w:proofErr w:type="gramEnd"/>
    </w:p>
    <w:p w:rsidR="0016241B" w:rsidRPr="0016241B" w:rsidRDefault="0016241B" w:rsidP="0016241B">
      <w:pPr>
        <w:spacing w:line="360" w:lineRule="exact"/>
        <w:jc w:val="left"/>
        <w:rPr>
          <w:rFonts w:ascii="宋体" w:hAnsi="宋体"/>
          <w:sz w:val="24"/>
        </w:rPr>
      </w:pPr>
      <w:r w:rsidRPr="0016241B">
        <w:rPr>
          <w:rFonts w:ascii="宋体" w:hAnsi="宋体" w:hint="eastAsia"/>
          <w:sz w:val="24"/>
        </w:rPr>
        <w:t>素相同，抗菌活性较林可霉素强4～8倍。对革兰氏阳性菌如葡萄球菌属（包括</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耐青霉素株）、链球菌属、白喉杆菌、炭疽杆菌等有较高抗菌活性。对革兰氏阴</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性厌氧菌也有良好抗菌活性，拟杆菌</w:t>
      </w:r>
      <w:proofErr w:type="gramStart"/>
      <w:r w:rsidRPr="0016241B">
        <w:rPr>
          <w:rFonts w:ascii="宋体" w:hAnsi="宋体" w:hint="eastAsia"/>
          <w:sz w:val="24"/>
        </w:rPr>
        <w:t>属包括</w:t>
      </w:r>
      <w:proofErr w:type="gramEnd"/>
      <w:r w:rsidRPr="0016241B">
        <w:rPr>
          <w:rFonts w:ascii="宋体" w:hAnsi="宋体" w:hint="eastAsia"/>
          <w:sz w:val="24"/>
        </w:rPr>
        <w:t>脆弱拟杆菌、梭杆菌属、消化球菌、消化链球菌、产气荚膜杆菌等大多对本品高度敏感。革兰氏阴性需氧菌包括流感嗜血杆菌、奈</w:t>
      </w:r>
      <w:proofErr w:type="gramStart"/>
      <w:r w:rsidRPr="0016241B">
        <w:rPr>
          <w:rFonts w:ascii="宋体" w:hAnsi="宋体" w:hint="eastAsia"/>
          <w:sz w:val="24"/>
        </w:rPr>
        <w:t>瑟</w:t>
      </w:r>
      <w:proofErr w:type="gramEnd"/>
      <w:r w:rsidRPr="0016241B">
        <w:rPr>
          <w:rFonts w:ascii="宋体" w:hAnsi="宋体" w:hint="eastAsia"/>
          <w:sz w:val="24"/>
        </w:rPr>
        <w:t>菌属</w:t>
      </w:r>
      <w:proofErr w:type="gramStart"/>
      <w:r w:rsidRPr="0016241B">
        <w:rPr>
          <w:rFonts w:ascii="宋体" w:hAnsi="宋体" w:hint="eastAsia"/>
          <w:sz w:val="24"/>
        </w:rPr>
        <w:t>及支原体属</w:t>
      </w:r>
      <w:proofErr w:type="gramEnd"/>
      <w:r w:rsidRPr="0016241B">
        <w:rPr>
          <w:rFonts w:ascii="宋体" w:hAnsi="宋体" w:hint="eastAsia"/>
          <w:sz w:val="24"/>
        </w:rPr>
        <w:t>均对本品耐药。本品与青霉素、氯霉素、头</w:t>
      </w:r>
      <w:proofErr w:type="gramStart"/>
      <w:r w:rsidRPr="0016241B">
        <w:rPr>
          <w:rFonts w:ascii="宋体" w:hAnsi="宋体" w:hint="eastAsia"/>
          <w:sz w:val="24"/>
        </w:rPr>
        <w:t>孢</w:t>
      </w:r>
      <w:proofErr w:type="gramEnd"/>
      <w:r w:rsidRPr="0016241B">
        <w:rPr>
          <w:rFonts w:ascii="宋体" w:hAnsi="宋体" w:hint="eastAsia"/>
          <w:sz w:val="24"/>
        </w:rPr>
        <w:t>菌</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素类和四环素类之间无交叉耐药，与大环内酯类有部分交叉耐药，与林可霉素有完全交叉耐药性。</w:t>
      </w:r>
    </w:p>
    <w:p w:rsidR="0016241B" w:rsidRPr="0016241B" w:rsidRDefault="0016241B" w:rsidP="0016241B">
      <w:pPr>
        <w:spacing w:line="360" w:lineRule="exact"/>
        <w:ind w:firstLineChars="200" w:firstLine="480"/>
        <w:jc w:val="left"/>
        <w:rPr>
          <w:rFonts w:ascii="宋体" w:hAnsi="宋体"/>
          <w:sz w:val="24"/>
        </w:rPr>
      </w:pPr>
      <w:r w:rsidRPr="0016241B">
        <w:rPr>
          <w:rFonts w:ascii="宋体" w:hAnsi="宋体" w:hint="eastAsia"/>
          <w:sz w:val="24"/>
        </w:rPr>
        <w:t>本品的作用机制是与细菌核糖体50S亚基结合，阻止肽链的延长，从而抑制细菌细胞的蛋白质合成。本品系抑菌药，但在高浓度时，对某些细菌也具有杀菌</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作用。</w:t>
      </w:r>
    </w:p>
    <w:p w:rsidR="0016241B" w:rsidRPr="0016241B" w:rsidRDefault="0016241B" w:rsidP="0016241B">
      <w:pPr>
        <w:spacing w:line="360" w:lineRule="exact"/>
        <w:ind w:firstLineChars="150" w:firstLine="360"/>
        <w:jc w:val="left"/>
        <w:rPr>
          <w:rFonts w:ascii="宋体" w:hAnsi="宋体"/>
          <w:sz w:val="24"/>
        </w:rPr>
      </w:pPr>
      <w:r w:rsidRPr="0016241B">
        <w:rPr>
          <w:rFonts w:ascii="宋体" w:hAnsi="宋体" w:hint="eastAsia"/>
          <w:sz w:val="24"/>
        </w:rPr>
        <w:t>【药代动力学】本品肌内注射后血药浓度达峰时间（</w:t>
      </w:r>
      <w:proofErr w:type="spellStart"/>
      <w:r w:rsidRPr="0016241B">
        <w:rPr>
          <w:rFonts w:ascii="宋体" w:hAnsi="宋体" w:hint="eastAsia"/>
          <w:sz w:val="24"/>
        </w:rPr>
        <w:t>t</w:t>
      </w:r>
      <w:r w:rsidRPr="0016241B">
        <w:rPr>
          <w:rFonts w:ascii="宋体" w:hAnsi="宋体"/>
          <w:sz w:val="24"/>
          <w:vertAlign w:val="subscript"/>
        </w:rPr>
        <w:t>max</w:t>
      </w:r>
      <w:proofErr w:type="spellEnd"/>
      <w:r w:rsidRPr="0016241B">
        <w:rPr>
          <w:rFonts w:ascii="宋体" w:hAnsi="宋体" w:hint="eastAsia"/>
          <w:sz w:val="24"/>
        </w:rPr>
        <w:t>），成人约为3小时，儿童约为1小时。静脉注射本品300mg，10分钟血药浓度为7mg/L。表观分布容积（</w:t>
      </w:r>
      <w:proofErr w:type="spellStart"/>
      <w:r w:rsidRPr="0016241B">
        <w:rPr>
          <w:rFonts w:ascii="宋体" w:hAnsi="宋体" w:hint="eastAsia"/>
          <w:sz w:val="24"/>
        </w:rPr>
        <w:t>V</w:t>
      </w:r>
      <w:r w:rsidRPr="0016241B">
        <w:rPr>
          <w:rFonts w:ascii="宋体" w:hAnsi="宋体"/>
          <w:sz w:val="24"/>
          <w:vertAlign w:val="subscript"/>
        </w:rPr>
        <w:t>d</w:t>
      </w:r>
      <w:proofErr w:type="spellEnd"/>
      <w:r w:rsidRPr="0016241B">
        <w:rPr>
          <w:rFonts w:ascii="宋体" w:hAnsi="宋体" w:hint="eastAsia"/>
          <w:sz w:val="24"/>
        </w:rPr>
        <w:t>）约为94L。本品的蛋白结合率高，为92%-94%。本品体内分布广泛，可进入唾液、痰、呼吸系统、胸腔积液、胆汁、前列腺、肝脏、膀胱、阑尾、精液、软组织、骨和关节等，也可透过胎盘，但不易进入脑脊液中。在骨组织、胆汁及尿液中可达高浓度。本品在肝脏代谢，部分代谢物可保留抗菌活性。代谢物由胆汁和尿液排泄。约10%给药量以活性成分由尿排出，其余以不具活性的代谢产物排出。血消除半衰期（T</w:t>
      </w:r>
      <w:r w:rsidRPr="0016241B">
        <w:rPr>
          <w:rFonts w:ascii="宋体" w:hAnsi="宋体"/>
          <w:sz w:val="24"/>
          <w:vertAlign w:val="subscript"/>
        </w:rPr>
        <w:t>1/2</w:t>
      </w:r>
      <w:r w:rsidRPr="0016241B">
        <w:rPr>
          <w:rFonts w:ascii="宋体" w:hAnsi="宋体"/>
          <w:sz w:val="24"/>
          <w:vertAlign w:val="subscript"/>
        </w:rPr>
        <w:sym w:font="Symbol" w:char="0062"/>
      </w:r>
      <w:r w:rsidRPr="0016241B">
        <w:rPr>
          <w:rFonts w:ascii="宋体" w:hAnsi="宋体" w:hint="eastAsia"/>
          <w:sz w:val="24"/>
        </w:rPr>
        <w:t>）约为3小时，肝、肾功能不全者T</w:t>
      </w:r>
      <w:r w:rsidRPr="0016241B">
        <w:rPr>
          <w:rFonts w:ascii="宋体" w:hAnsi="宋体"/>
          <w:sz w:val="24"/>
          <w:vertAlign w:val="subscript"/>
        </w:rPr>
        <w:t>1/2</w:t>
      </w:r>
      <w:r w:rsidRPr="0016241B">
        <w:rPr>
          <w:rFonts w:ascii="宋体" w:hAnsi="宋体"/>
          <w:sz w:val="24"/>
          <w:vertAlign w:val="subscript"/>
        </w:rPr>
        <w:sym w:font="Symbol" w:char="0062"/>
      </w:r>
      <w:r w:rsidRPr="0016241B">
        <w:rPr>
          <w:rFonts w:ascii="宋体" w:hAnsi="宋体" w:hint="eastAsia"/>
          <w:sz w:val="24"/>
        </w:rPr>
        <w:t>可略有延长。血液透析及腹膜透析不能清除本品。</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【贮    藏】</w:t>
      </w:r>
      <w:r w:rsidRPr="0016241B">
        <w:rPr>
          <w:rFonts w:ascii="宋体" w:hAnsi="宋体" w:cs="宋体" w:hint="eastAsia"/>
          <w:sz w:val="24"/>
        </w:rPr>
        <w:t>密闭，在阴凉处</w:t>
      </w:r>
      <w:r w:rsidRPr="0016241B">
        <w:rPr>
          <w:rFonts w:ascii="宋体" w:hAnsi="宋体" w:hint="eastAsia"/>
          <w:sz w:val="24"/>
        </w:rPr>
        <w:t>（不超过20℃）保存。</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【包    装】</w:t>
      </w:r>
      <w:proofErr w:type="gramStart"/>
      <w:r w:rsidRPr="0016241B">
        <w:rPr>
          <w:rFonts w:ascii="宋体" w:hAnsi="宋体" w:hint="eastAsia"/>
          <w:sz w:val="24"/>
        </w:rPr>
        <w:t>低硼硅玻璃</w:t>
      </w:r>
      <w:proofErr w:type="gramEnd"/>
      <w:r w:rsidRPr="0016241B">
        <w:rPr>
          <w:rFonts w:ascii="宋体" w:hAnsi="宋体" w:hint="eastAsia"/>
          <w:sz w:val="24"/>
        </w:rPr>
        <w:t>安瓿，</w:t>
      </w:r>
      <w:r w:rsidRPr="0016241B">
        <w:rPr>
          <w:rFonts w:ascii="宋体" w:hAnsi="宋体"/>
          <w:sz w:val="24"/>
        </w:rPr>
        <w:t>10</w:t>
      </w:r>
      <w:r w:rsidRPr="0016241B">
        <w:rPr>
          <w:rFonts w:ascii="宋体" w:hAnsi="宋体" w:hint="eastAsia"/>
          <w:sz w:val="24"/>
        </w:rPr>
        <w:t>支/盒。</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【有 效 期】24个月。</w:t>
      </w:r>
    </w:p>
    <w:p w:rsidR="0016241B" w:rsidRPr="0016241B" w:rsidRDefault="0016241B" w:rsidP="0016241B">
      <w:pPr>
        <w:spacing w:line="360" w:lineRule="exact"/>
        <w:jc w:val="left"/>
        <w:rPr>
          <w:rFonts w:ascii="宋体" w:hAnsi="宋体"/>
          <w:sz w:val="24"/>
        </w:rPr>
      </w:pPr>
      <w:r w:rsidRPr="0016241B">
        <w:rPr>
          <w:rFonts w:ascii="宋体" w:hAnsi="宋体"/>
          <w:sz w:val="24"/>
        </w:rPr>
        <w:t>【</w:t>
      </w:r>
      <w:r w:rsidRPr="0016241B">
        <w:rPr>
          <w:rFonts w:ascii="宋体" w:hAnsi="宋体" w:hint="eastAsia"/>
          <w:bCs/>
          <w:sz w:val="24"/>
        </w:rPr>
        <w:t>执行标准</w:t>
      </w:r>
      <w:r w:rsidRPr="0016241B">
        <w:rPr>
          <w:rFonts w:ascii="宋体" w:hAnsi="宋体"/>
          <w:sz w:val="24"/>
        </w:rPr>
        <w:t>】</w:t>
      </w:r>
      <w:r w:rsidRPr="0016241B">
        <w:rPr>
          <w:rFonts w:ascii="宋体" w:hAnsi="宋体" w:hint="eastAsia"/>
          <w:sz w:val="24"/>
        </w:rPr>
        <w:t>国家药品标准WS</w:t>
      </w:r>
      <w:r w:rsidRPr="0016241B">
        <w:rPr>
          <w:rFonts w:ascii="宋体" w:hAnsi="宋体" w:hint="eastAsia"/>
          <w:sz w:val="24"/>
          <w:vertAlign w:val="subscript"/>
        </w:rPr>
        <w:t>1</w:t>
      </w:r>
      <w:r w:rsidRPr="0016241B">
        <w:rPr>
          <w:rFonts w:ascii="宋体" w:hAnsi="宋体" w:hint="eastAsia"/>
          <w:sz w:val="24"/>
        </w:rPr>
        <w:t>-(X-029）-2003Z-2011。</w:t>
      </w:r>
    </w:p>
    <w:p w:rsidR="0016241B" w:rsidRPr="0016241B" w:rsidRDefault="0016241B" w:rsidP="0016241B">
      <w:pPr>
        <w:spacing w:line="360" w:lineRule="exact"/>
        <w:jc w:val="left"/>
        <w:rPr>
          <w:rFonts w:ascii="宋体" w:hAnsi="宋体"/>
          <w:sz w:val="24"/>
        </w:rPr>
      </w:pPr>
      <w:r w:rsidRPr="0016241B">
        <w:rPr>
          <w:rFonts w:ascii="宋体" w:hAnsi="宋体" w:hint="eastAsia"/>
          <w:sz w:val="24"/>
        </w:rPr>
        <w:t>【批准文号】</w:t>
      </w:r>
      <w:r w:rsidRPr="0016241B">
        <w:rPr>
          <w:rFonts w:ascii="宋体" w:hAnsi="宋体" w:cs="宋体" w:hint="eastAsia"/>
          <w:sz w:val="24"/>
        </w:rPr>
        <w:t>国药准字</w:t>
      </w:r>
      <w:r w:rsidRPr="0016241B">
        <w:rPr>
          <w:rFonts w:ascii="宋体" w:hAnsi="宋体" w:hint="eastAsia"/>
          <w:sz w:val="24"/>
        </w:rPr>
        <w:t xml:space="preserve"> H20054685</w:t>
      </w:r>
    </w:p>
    <w:p w:rsidR="0016241B" w:rsidRPr="0016241B" w:rsidRDefault="0016241B" w:rsidP="0016241B">
      <w:pPr>
        <w:outlineLvl w:val="0"/>
        <w:rPr>
          <w:rFonts w:ascii="宋体" w:hAnsi="宋体"/>
          <w:sz w:val="24"/>
        </w:rPr>
      </w:pPr>
      <w:r w:rsidRPr="0016241B">
        <w:rPr>
          <w:rFonts w:ascii="宋体" w:hAnsi="宋体" w:hint="eastAsia"/>
          <w:sz w:val="24"/>
        </w:rPr>
        <w:t>【上市许可持有人】海南制药厂有限公司制药二厂</w:t>
      </w:r>
    </w:p>
    <w:p w:rsidR="0016241B" w:rsidRPr="0016241B" w:rsidRDefault="0016241B" w:rsidP="0016241B">
      <w:pPr>
        <w:outlineLvl w:val="0"/>
        <w:rPr>
          <w:rFonts w:ascii="宋体" w:hAnsi="宋体"/>
          <w:sz w:val="24"/>
        </w:rPr>
      </w:pPr>
      <w:r w:rsidRPr="0016241B">
        <w:rPr>
          <w:rFonts w:ascii="宋体" w:hAnsi="宋体" w:hint="eastAsia"/>
          <w:sz w:val="24"/>
        </w:rPr>
        <w:t>【地    址】林州市</w:t>
      </w:r>
      <w:proofErr w:type="gramStart"/>
      <w:r w:rsidRPr="0016241B">
        <w:rPr>
          <w:rFonts w:ascii="宋体" w:hAnsi="宋体" w:hint="eastAsia"/>
          <w:sz w:val="24"/>
        </w:rPr>
        <w:t>史家河</w:t>
      </w:r>
      <w:proofErr w:type="gramEnd"/>
      <w:r w:rsidRPr="0016241B">
        <w:rPr>
          <w:rFonts w:ascii="宋体" w:hAnsi="宋体" w:hint="eastAsia"/>
          <w:sz w:val="24"/>
        </w:rPr>
        <w:t>工业园区</w:t>
      </w:r>
    </w:p>
    <w:p w:rsidR="0016241B" w:rsidRPr="0016241B" w:rsidRDefault="0016241B" w:rsidP="0016241B">
      <w:pPr>
        <w:spacing w:line="320" w:lineRule="exact"/>
        <w:ind w:leftChars="-50" w:left="-105" w:firstLineChars="49" w:firstLine="118"/>
        <w:rPr>
          <w:rFonts w:ascii="宋体" w:hAnsi="宋体"/>
          <w:sz w:val="24"/>
        </w:rPr>
      </w:pPr>
      <w:r w:rsidRPr="0016241B">
        <w:rPr>
          <w:rFonts w:ascii="宋体" w:hAnsi="宋体"/>
          <w:sz w:val="24"/>
        </w:rPr>
        <w:t>【</w:t>
      </w:r>
      <w:r w:rsidRPr="0016241B">
        <w:rPr>
          <w:rFonts w:ascii="宋体" w:hAnsi="宋体"/>
          <w:bCs/>
          <w:sz w:val="24"/>
        </w:rPr>
        <w:t>生产企业</w:t>
      </w:r>
      <w:r w:rsidRPr="0016241B">
        <w:rPr>
          <w:rFonts w:ascii="宋体" w:hAnsi="宋体"/>
          <w:sz w:val="24"/>
        </w:rPr>
        <w:t>】</w:t>
      </w:r>
      <w:r w:rsidRPr="0016241B">
        <w:rPr>
          <w:rFonts w:ascii="宋体" w:hAnsi="宋体" w:hint="eastAsia"/>
          <w:sz w:val="24"/>
        </w:rPr>
        <w:t>企业名称：海南制药厂有限公司制药二厂</w:t>
      </w:r>
    </w:p>
    <w:p w:rsidR="0016241B" w:rsidRPr="0016241B" w:rsidRDefault="0016241B" w:rsidP="0016241B">
      <w:pPr>
        <w:spacing w:line="320" w:lineRule="exact"/>
        <w:ind w:firstLineChars="600" w:firstLine="1440"/>
        <w:rPr>
          <w:rFonts w:ascii="宋体" w:hAnsi="宋体"/>
          <w:sz w:val="24"/>
        </w:rPr>
      </w:pPr>
      <w:r w:rsidRPr="0016241B">
        <w:rPr>
          <w:rFonts w:ascii="宋体" w:hAnsi="宋体" w:hint="eastAsia"/>
          <w:sz w:val="24"/>
        </w:rPr>
        <w:t>生产地址：林州市</w:t>
      </w:r>
      <w:proofErr w:type="gramStart"/>
      <w:r w:rsidRPr="0016241B">
        <w:rPr>
          <w:rFonts w:ascii="宋体" w:hAnsi="宋体" w:hint="eastAsia"/>
          <w:sz w:val="24"/>
        </w:rPr>
        <w:t>史家河</w:t>
      </w:r>
      <w:proofErr w:type="gramEnd"/>
      <w:r w:rsidRPr="0016241B">
        <w:rPr>
          <w:rFonts w:ascii="宋体" w:hAnsi="宋体" w:hint="eastAsia"/>
          <w:sz w:val="24"/>
        </w:rPr>
        <w:t>工业园区</w:t>
      </w:r>
    </w:p>
    <w:p w:rsidR="0016241B" w:rsidRPr="0016241B" w:rsidRDefault="0016241B" w:rsidP="0016241B">
      <w:pPr>
        <w:spacing w:line="320" w:lineRule="exact"/>
        <w:ind w:firstLineChars="600" w:firstLine="1440"/>
        <w:rPr>
          <w:rFonts w:ascii="宋体" w:hAnsi="宋体"/>
          <w:sz w:val="24"/>
        </w:rPr>
      </w:pPr>
      <w:r w:rsidRPr="0016241B">
        <w:rPr>
          <w:rFonts w:ascii="宋体" w:hAnsi="宋体" w:hint="eastAsia"/>
          <w:sz w:val="24"/>
        </w:rPr>
        <w:t>邮政编码：456592</w:t>
      </w:r>
    </w:p>
    <w:p w:rsidR="0016241B" w:rsidRPr="0016241B" w:rsidRDefault="0016241B" w:rsidP="0016241B">
      <w:pPr>
        <w:spacing w:line="320" w:lineRule="exact"/>
        <w:ind w:firstLineChars="600" w:firstLine="1440"/>
        <w:rPr>
          <w:rFonts w:ascii="宋体" w:hAnsi="宋体"/>
          <w:sz w:val="24"/>
        </w:rPr>
      </w:pPr>
      <w:r w:rsidRPr="0016241B">
        <w:rPr>
          <w:rFonts w:ascii="宋体" w:hAnsi="宋体" w:hint="eastAsia"/>
          <w:sz w:val="24"/>
        </w:rPr>
        <w:t>电话号码：0372-6515111</w:t>
      </w:r>
    </w:p>
    <w:p w:rsidR="0016241B" w:rsidRPr="0016241B" w:rsidRDefault="0016241B" w:rsidP="0016241B">
      <w:pPr>
        <w:spacing w:line="320" w:lineRule="exact"/>
        <w:ind w:firstLineChars="600" w:firstLine="1440"/>
        <w:rPr>
          <w:rFonts w:ascii="宋体" w:hAnsi="宋体"/>
          <w:sz w:val="24"/>
        </w:rPr>
      </w:pPr>
      <w:r w:rsidRPr="0016241B">
        <w:rPr>
          <w:rFonts w:ascii="宋体" w:hAnsi="宋体" w:hint="eastAsia"/>
          <w:sz w:val="24"/>
        </w:rPr>
        <w:t xml:space="preserve">传真号码：0372-6515111 </w:t>
      </w:r>
    </w:p>
    <w:p w:rsidR="000B2BD1" w:rsidRPr="0016241B" w:rsidRDefault="000B2BD1"/>
    <w:sectPr w:rsidR="000B2BD1" w:rsidRPr="001624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1B"/>
    <w:rsid w:val="000B2BD1"/>
    <w:rsid w:val="0016241B"/>
    <w:rsid w:val="004F6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6241B"/>
    <w:pPr>
      <w:spacing w:after="120"/>
    </w:pPr>
    <w:rPr>
      <w:rFonts w:ascii="Times New Roman" w:eastAsia="宋体" w:hAnsi="Times New Roman" w:cs="Times New Roman"/>
      <w:szCs w:val="24"/>
    </w:rPr>
  </w:style>
  <w:style w:type="character" w:customStyle="1" w:styleId="Char">
    <w:name w:val="正文文本 Char"/>
    <w:basedOn w:val="a0"/>
    <w:link w:val="a3"/>
    <w:rsid w:val="0016241B"/>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6241B"/>
    <w:pPr>
      <w:spacing w:after="120"/>
    </w:pPr>
    <w:rPr>
      <w:rFonts w:ascii="Times New Roman" w:eastAsia="宋体" w:hAnsi="Times New Roman" w:cs="Times New Roman"/>
      <w:szCs w:val="24"/>
    </w:rPr>
  </w:style>
  <w:style w:type="character" w:customStyle="1" w:styleId="Char">
    <w:name w:val="正文文本 Char"/>
    <w:basedOn w:val="a0"/>
    <w:link w:val="a3"/>
    <w:rsid w:val="0016241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499</Words>
  <Characters>2846</Characters>
  <Application>Microsoft Office Word</Application>
  <DocSecurity>0</DocSecurity>
  <Lines>23</Lines>
  <Paragraphs>6</Paragraphs>
  <ScaleCrop>false</ScaleCrop>
  <Company>2012dnd.com</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2025-01-13T01:29:00Z</dcterms:created>
  <dcterms:modified xsi:type="dcterms:W3CDTF">2025-01-13T03:15:00Z</dcterms:modified>
</cp:coreProperties>
</file>