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A6" w:rsidRPr="000F3D5E" w:rsidRDefault="002B00A6" w:rsidP="00602499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7D5579EC" wp14:editId="533345D3">
            <wp:simplePos x="0" y="0"/>
            <wp:positionH relativeFrom="column">
              <wp:posOffset>4686300</wp:posOffset>
            </wp:positionH>
            <wp:positionV relativeFrom="paragraph">
              <wp:posOffset>57785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D5E">
        <w:rPr>
          <w:rFonts w:ascii="宋体" w:hAnsi="宋体"/>
          <w:sz w:val="24"/>
        </w:rPr>
        <w:t>核准日期：</w:t>
      </w:r>
      <w:r w:rsidRPr="000F3D5E">
        <w:rPr>
          <w:rFonts w:ascii="宋体" w:hAnsi="宋体" w:hint="eastAsia"/>
          <w:sz w:val="24"/>
        </w:rPr>
        <w:t xml:space="preserve">2007年05月28日 </w:t>
      </w:r>
    </w:p>
    <w:p w:rsidR="002B00A6" w:rsidRPr="000F3D5E" w:rsidRDefault="002B00A6" w:rsidP="00602499">
      <w:pPr>
        <w:rPr>
          <w:rFonts w:ascii="宋体" w:hAnsi="宋体"/>
          <w:b/>
          <w:bCs/>
          <w:sz w:val="24"/>
        </w:rPr>
      </w:pPr>
      <w:r w:rsidRPr="000F3D5E">
        <w:rPr>
          <w:rFonts w:ascii="宋体" w:hAnsi="宋体" w:hint="eastAsia"/>
          <w:sz w:val="24"/>
        </w:rPr>
        <w:t xml:space="preserve">修订日期：2020年12月30日 </w:t>
      </w:r>
      <w:r w:rsidRPr="000F3D5E">
        <w:rPr>
          <w:rFonts w:ascii="宋体" w:hAnsi="宋体" w:hint="eastAsia"/>
        </w:rPr>
        <w:t xml:space="preserve">                                                       </w:t>
      </w:r>
    </w:p>
    <w:p w:rsidR="002B00A6" w:rsidRPr="00602499" w:rsidRDefault="002B00A6" w:rsidP="002B00A6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602499">
        <w:rPr>
          <w:rFonts w:ascii="宋体" w:hAnsi="宋体" w:hint="eastAsia"/>
          <w:b/>
          <w:sz w:val="36"/>
          <w:szCs w:val="36"/>
        </w:rPr>
        <w:t>维生素</w:t>
      </w:r>
      <w:r w:rsidRPr="00602499">
        <w:rPr>
          <w:rFonts w:ascii="宋体" w:hAnsi="宋体"/>
          <w:b/>
          <w:sz w:val="36"/>
          <w:szCs w:val="36"/>
        </w:rPr>
        <w:t>B</w:t>
      </w:r>
      <w:r w:rsidRPr="00602499">
        <w:rPr>
          <w:rFonts w:ascii="宋体" w:hAnsi="宋体" w:hint="eastAsia"/>
          <w:b/>
          <w:sz w:val="36"/>
          <w:szCs w:val="36"/>
          <w:vertAlign w:val="subscript"/>
        </w:rPr>
        <w:t>12</w:t>
      </w:r>
      <w:r w:rsidRPr="00602499">
        <w:rPr>
          <w:rFonts w:ascii="宋体" w:hAnsi="宋体"/>
          <w:b/>
          <w:sz w:val="36"/>
          <w:szCs w:val="36"/>
        </w:rPr>
        <w:t>注射液说明书</w:t>
      </w:r>
    </w:p>
    <w:p w:rsidR="002B00A6" w:rsidRPr="000F3D5E" w:rsidRDefault="002B00A6" w:rsidP="002B00A6">
      <w:pPr>
        <w:jc w:val="center"/>
        <w:rPr>
          <w:rFonts w:ascii="宋体" w:hAnsi="宋体"/>
          <w:b/>
          <w:sz w:val="24"/>
        </w:rPr>
      </w:pPr>
      <w:r w:rsidRPr="000F3D5E">
        <w:rPr>
          <w:rFonts w:ascii="宋体" w:hAnsi="宋体"/>
          <w:b/>
          <w:sz w:val="24"/>
        </w:rPr>
        <w:t>请仔细阅读说明书并在医师指导下使用</w:t>
      </w:r>
    </w:p>
    <w:p w:rsidR="002B00A6" w:rsidRPr="000F3D5E" w:rsidRDefault="002B00A6" w:rsidP="002B00A6">
      <w:pPr>
        <w:spacing w:line="340" w:lineRule="exact"/>
        <w:rPr>
          <w:rFonts w:ascii="宋体" w:hAnsi="宋体"/>
          <w:b/>
          <w:bCs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【药品名称】</w:t>
      </w:r>
    </w:p>
    <w:p w:rsidR="002B00A6" w:rsidRPr="000F3D5E" w:rsidRDefault="002B00A6" w:rsidP="002B00A6">
      <w:pPr>
        <w:spacing w:line="340" w:lineRule="exact"/>
        <w:ind w:left="105" w:firstLineChars="181" w:firstLine="434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sz w:val="24"/>
        </w:rPr>
        <w:t>通用名称：</w:t>
      </w:r>
      <w:r w:rsidRPr="000F3D5E">
        <w:rPr>
          <w:rFonts w:ascii="宋体" w:hAnsi="宋体" w:hint="eastAsia"/>
          <w:bCs/>
          <w:sz w:val="24"/>
        </w:rPr>
        <w:t>维生素</w:t>
      </w:r>
      <w:r w:rsidRPr="000F3D5E">
        <w:rPr>
          <w:rFonts w:ascii="宋体" w:hAnsi="宋体"/>
          <w:bCs/>
          <w:sz w:val="24"/>
        </w:rPr>
        <w:t>B</w:t>
      </w:r>
      <w:r w:rsidRPr="000F3D5E">
        <w:rPr>
          <w:rFonts w:ascii="宋体" w:hAnsi="宋体"/>
          <w:bCs/>
          <w:sz w:val="24"/>
          <w:vertAlign w:val="subscript"/>
        </w:rPr>
        <w:t>12</w:t>
      </w:r>
      <w:r w:rsidRPr="000F3D5E">
        <w:rPr>
          <w:rFonts w:ascii="宋体" w:hAnsi="宋体" w:hint="eastAsia"/>
          <w:bCs/>
          <w:sz w:val="24"/>
        </w:rPr>
        <w:t>注射液</w:t>
      </w:r>
    </w:p>
    <w:p w:rsidR="002B00A6" w:rsidRPr="000F3D5E" w:rsidRDefault="002B00A6" w:rsidP="002B00A6">
      <w:pPr>
        <w:spacing w:line="340" w:lineRule="exact"/>
        <w:ind w:left="105" w:firstLineChars="181" w:firstLine="434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bCs/>
          <w:sz w:val="24"/>
        </w:rPr>
        <w:t xml:space="preserve">英文名称：  </w:t>
      </w:r>
      <w:proofErr w:type="gramStart"/>
      <w:r w:rsidRPr="000F3D5E">
        <w:rPr>
          <w:rFonts w:ascii="宋体" w:hAnsi="宋体"/>
          <w:bCs/>
          <w:sz w:val="24"/>
        </w:rPr>
        <w:t>Vitamin  B</w:t>
      </w:r>
      <w:r w:rsidRPr="000F3D5E">
        <w:rPr>
          <w:rFonts w:ascii="宋体" w:hAnsi="宋体"/>
          <w:bCs/>
          <w:sz w:val="24"/>
          <w:vertAlign w:val="subscript"/>
        </w:rPr>
        <w:t>12</w:t>
      </w:r>
      <w:proofErr w:type="gramEnd"/>
      <w:r w:rsidRPr="000F3D5E">
        <w:rPr>
          <w:rFonts w:ascii="宋体" w:hAnsi="宋体"/>
          <w:bCs/>
          <w:sz w:val="24"/>
        </w:rPr>
        <w:t xml:space="preserve">  Injection</w:t>
      </w:r>
    </w:p>
    <w:p w:rsidR="002B00A6" w:rsidRPr="000F3D5E" w:rsidRDefault="002B00A6" w:rsidP="002B00A6">
      <w:pPr>
        <w:spacing w:line="340" w:lineRule="exact"/>
        <w:ind w:left="105" w:firstLineChars="181" w:firstLine="434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bCs/>
          <w:sz w:val="24"/>
        </w:rPr>
        <w:t xml:space="preserve">汉语拼音：  </w:t>
      </w:r>
      <w:proofErr w:type="spellStart"/>
      <w:proofErr w:type="gramStart"/>
      <w:r w:rsidRPr="000F3D5E">
        <w:rPr>
          <w:rFonts w:ascii="宋体" w:hAnsi="宋体"/>
          <w:bCs/>
          <w:sz w:val="24"/>
        </w:rPr>
        <w:t>Weishengsu</w:t>
      </w:r>
      <w:proofErr w:type="spellEnd"/>
      <w:r w:rsidRPr="000F3D5E">
        <w:rPr>
          <w:rFonts w:ascii="宋体" w:hAnsi="宋体"/>
          <w:bCs/>
          <w:sz w:val="24"/>
        </w:rPr>
        <w:t xml:space="preserve">  B</w:t>
      </w:r>
      <w:r w:rsidRPr="000F3D5E">
        <w:rPr>
          <w:rFonts w:ascii="宋体" w:hAnsi="宋体"/>
          <w:bCs/>
          <w:sz w:val="24"/>
          <w:vertAlign w:val="subscript"/>
        </w:rPr>
        <w:t>12</w:t>
      </w:r>
      <w:proofErr w:type="gramEnd"/>
      <w:r w:rsidRPr="000F3D5E">
        <w:rPr>
          <w:rFonts w:ascii="宋体" w:hAnsi="宋体"/>
          <w:bCs/>
          <w:sz w:val="24"/>
        </w:rPr>
        <w:t xml:space="preserve">  </w:t>
      </w:r>
      <w:proofErr w:type="spellStart"/>
      <w:r w:rsidRPr="000F3D5E">
        <w:rPr>
          <w:rFonts w:ascii="宋体" w:hAnsi="宋体"/>
          <w:bCs/>
          <w:sz w:val="24"/>
        </w:rPr>
        <w:t>Zhusheye</w:t>
      </w:r>
      <w:proofErr w:type="spellEnd"/>
      <w:r w:rsidRPr="000F3D5E">
        <w:rPr>
          <w:rFonts w:ascii="宋体" w:hAnsi="宋体"/>
          <w:bCs/>
          <w:sz w:val="24"/>
        </w:rPr>
        <w:t xml:space="preserve"> </w:t>
      </w:r>
    </w:p>
    <w:p w:rsidR="002B00A6" w:rsidRPr="000F3D5E" w:rsidRDefault="002B00A6" w:rsidP="002B00A6">
      <w:pPr>
        <w:spacing w:line="340" w:lineRule="exact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【成份】</w:t>
      </w:r>
      <w:r w:rsidRPr="000F3D5E">
        <w:rPr>
          <w:rFonts w:ascii="宋体" w:hAnsi="宋体" w:hint="eastAsia"/>
          <w:bCs/>
          <w:sz w:val="24"/>
        </w:rPr>
        <w:t>本品的主要成份为维生素</w:t>
      </w:r>
      <w:r w:rsidRPr="000F3D5E">
        <w:rPr>
          <w:rFonts w:ascii="宋体" w:hAnsi="宋体"/>
          <w:bCs/>
          <w:sz w:val="24"/>
        </w:rPr>
        <w:t>B</w:t>
      </w:r>
      <w:r w:rsidRPr="000F3D5E">
        <w:rPr>
          <w:rFonts w:ascii="宋体" w:hAnsi="宋体"/>
          <w:bCs/>
          <w:sz w:val="24"/>
          <w:vertAlign w:val="subscript"/>
        </w:rPr>
        <w:t>12</w:t>
      </w:r>
      <w:r w:rsidRPr="000F3D5E">
        <w:rPr>
          <w:rFonts w:ascii="宋体" w:hAnsi="宋体" w:hint="eastAsia"/>
          <w:bCs/>
          <w:sz w:val="24"/>
        </w:rPr>
        <w:t>，</w:t>
      </w:r>
    </w:p>
    <w:p w:rsidR="002B00A6" w:rsidRPr="000F3D5E" w:rsidRDefault="002B00A6" w:rsidP="002B00A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bCs/>
          <w:sz w:val="24"/>
        </w:rPr>
        <w:t>化学名称：C</w:t>
      </w:r>
      <w:r w:rsidRPr="000F3D5E">
        <w:rPr>
          <w:rFonts w:ascii="宋体" w:hAnsi="宋体"/>
          <w:bCs/>
          <w:sz w:val="24"/>
        </w:rPr>
        <w:t>o</w:t>
      </w:r>
      <w:r w:rsidRPr="000F3D5E">
        <w:rPr>
          <w:rFonts w:ascii="宋体" w:hAnsi="宋体" w:hint="eastAsia"/>
          <w:bCs/>
          <w:sz w:val="24"/>
        </w:rPr>
        <w:t>α</w:t>
      </w:r>
      <w:r w:rsidRPr="000F3D5E">
        <w:rPr>
          <w:rFonts w:ascii="宋体" w:hAnsi="宋体"/>
          <w:bCs/>
          <w:sz w:val="24"/>
        </w:rPr>
        <w:t>-[</w:t>
      </w:r>
      <w:r w:rsidRPr="000F3D5E">
        <w:rPr>
          <w:rFonts w:ascii="宋体" w:hAnsi="宋体" w:hint="eastAsia"/>
          <w:bCs/>
          <w:sz w:val="24"/>
        </w:rPr>
        <w:t>α</w:t>
      </w:r>
      <w:r w:rsidRPr="000F3D5E">
        <w:rPr>
          <w:rFonts w:ascii="宋体" w:hAnsi="宋体"/>
          <w:bCs/>
          <w:sz w:val="24"/>
        </w:rPr>
        <w:t>-(5,6-</w:t>
      </w:r>
      <w:r w:rsidRPr="000F3D5E">
        <w:rPr>
          <w:rFonts w:ascii="宋体" w:hAnsi="宋体" w:hint="eastAsia"/>
          <w:bCs/>
          <w:sz w:val="24"/>
        </w:rPr>
        <w:t>二甲基苯并咪唑基)]-C</w:t>
      </w:r>
      <w:r w:rsidRPr="000F3D5E">
        <w:rPr>
          <w:rFonts w:ascii="宋体" w:hAnsi="宋体"/>
          <w:bCs/>
          <w:sz w:val="24"/>
        </w:rPr>
        <w:t>o</w:t>
      </w:r>
      <w:r w:rsidRPr="000F3D5E">
        <w:rPr>
          <w:rFonts w:ascii="宋体" w:hAnsi="宋体" w:hint="eastAsia"/>
          <w:bCs/>
          <w:sz w:val="24"/>
        </w:rPr>
        <w:t>β氰钴酰胺。</w:t>
      </w:r>
    </w:p>
    <w:p w:rsidR="002B00A6" w:rsidRPr="000F3D5E" w:rsidRDefault="002B00A6" w:rsidP="002B00A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 w:rsidRPr="000F3D5E">
        <w:rPr>
          <w:rFonts w:ascii="宋体" w:hAnsi="宋体" w:hint="eastAsia"/>
          <w:bCs/>
          <w:sz w:val="24"/>
        </w:rPr>
        <w:t>化学结构式：</w:t>
      </w:r>
    </w:p>
    <w:p w:rsidR="002B00A6" w:rsidRPr="000F3D5E" w:rsidRDefault="00602499" w:rsidP="002B00A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9" o:spid="_x0000_s1026" type="#_x0000_t75" style="position:absolute;left:0;text-align:left;margin-left:54pt;margin-top:11.4pt;width:290.25pt;height:141.15pt;z-index:251659264">
            <v:imagedata r:id="rId6" o:title=""/>
          </v:shape>
        </w:pict>
      </w:r>
    </w:p>
    <w:p w:rsidR="002B00A6" w:rsidRPr="000F3D5E" w:rsidRDefault="002B00A6" w:rsidP="002B00A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bCs/>
          <w:sz w:val="24"/>
        </w:rPr>
      </w:pPr>
    </w:p>
    <w:p w:rsidR="002B00A6" w:rsidRPr="000F3D5E" w:rsidRDefault="002B00A6" w:rsidP="002B00A6">
      <w:pPr>
        <w:spacing w:line="0" w:lineRule="atLeast"/>
        <w:rPr>
          <w:rFonts w:ascii="宋体" w:hAnsi="宋体"/>
          <w:sz w:val="24"/>
        </w:rPr>
      </w:pPr>
    </w:p>
    <w:p w:rsidR="002B00A6" w:rsidRPr="000F3D5E" w:rsidRDefault="002B00A6" w:rsidP="002B00A6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分子式：C</w:t>
      </w:r>
      <w:r w:rsidRPr="000F3D5E">
        <w:rPr>
          <w:rFonts w:ascii="宋体" w:hAnsi="宋体" w:hint="eastAsia"/>
          <w:sz w:val="24"/>
          <w:vertAlign w:val="subscript"/>
        </w:rPr>
        <w:t>63</w:t>
      </w:r>
      <w:r w:rsidRPr="000F3D5E">
        <w:rPr>
          <w:rFonts w:ascii="宋体" w:hAnsi="宋体" w:hint="eastAsia"/>
          <w:sz w:val="24"/>
        </w:rPr>
        <w:t>H</w:t>
      </w:r>
      <w:r w:rsidRPr="000F3D5E">
        <w:rPr>
          <w:rFonts w:ascii="宋体" w:hAnsi="宋体" w:hint="eastAsia"/>
          <w:sz w:val="24"/>
          <w:vertAlign w:val="subscript"/>
        </w:rPr>
        <w:t>88</w:t>
      </w:r>
      <w:r w:rsidRPr="000F3D5E">
        <w:rPr>
          <w:rFonts w:ascii="宋体" w:hAnsi="宋体" w:hint="eastAsia"/>
          <w:sz w:val="24"/>
        </w:rPr>
        <w:t>C</w:t>
      </w:r>
      <w:r w:rsidRPr="000F3D5E">
        <w:rPr>
          <w:rFonts w:ascii="宋体" w:hAnsi="宋体"/>
          <w:sz w:val="24"/>
        </w:rPr>
        <w:t>oN</w:t>
      </w:r>
      <w:r w:rsidRPr="000F3D5E">
        <w:rPr>
          <w:rFonts w:ascii="宋体" w:hAnsi="宋体"/>
          <w:sz w:val="24"/>
          <w:vertAlign w:val="subscript"/>
        </w:rPr>
        <w:t>14</w:t>
      </w:r>
      <w:r w:rsidRPr="000F3D5E">
        <w:rPr>
          <w:rFonts w:ascii="宋体" w:hAnsi="宋体"/>
          <w:sz w:val="24"/>
        </w:rPr>
        <w:t>O</w:t>
      </w:r>
      <w:r w:rsidRPr="000F3D5E">
        <w:rPr>
          <w:rFonts w:ascii="宋体" w:hAnsi="宋体"/>
          <w:sz w:val="24"/>
          <w:vertAlign w:val="subscript"/>
        </w:rPr>
        <w:t>14</w:t>
      </w:r>
      <w:r w:rsidRPr="000F3D5E">
        <w:rPr>
          <w:rFonts w:ascii="宋体" w:hAnsi="宋体"/>
          <w:sz w:val="24"/>
        </w:rPr>
        <w:t>P</w:t>
      </w:r>
    </w:p>
    <w:p w:rsidR="002B00A6" w:rsidRPr="000F3D5E" w:rsidRDefault="002B00A6" w:rsidP="002B00A6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分子量：1355.38</w:t>
      </w:r>
    </w:p>
    <w:p w:rsidR="002B00A6" w:rsidRPr="000F3D5E" w:rsidRDefault="002B00A6" w:rsidP="002B00A6">
      <w:pPr>
        <w:spacing w:line="360" w:lineRule="exact"/>
        <w:ind w:firstLineChars="225" w:firstLine="54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辅料为：氯化钠、注射用水。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【性状】</w:t>
      </w:r>
      <w:r w:rsidRPr="000F3D5E">
        <w:rPr>
          <w:rFonts w:ascii="宋体" w:hAnsi="宋体" w:hint="eastAsia"/>
          <w:sz w:val="24"/>
        </w:rPr>
        <w:t>本品为粉红色至红色的澄明液体。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【适应症】</w:t>
      </w:r>
      <w:r w:rsidRPr="000F3D5E">
        <w:rPr>
          <w:rFonts w:ascii="宋体" w:hAnsi="宋体" w:hint="eastAsia"/>
          <w:sz w:val="24"/>
        </w:rPr>
        <w:t>主要用于因内因子缺乏所致的巨幼细胞性贫血，也可用于亚急性联合变性神经系统病变，如神经炎的辅助治疗。</w:t>
      </w:r>
    </w:p>
    <w:p w:rsidR="002B00A6" w:rsidRPr="000F3D5E" w:rsidRDefault="002B00A6" w:rsidP="002B00A6">
      <w:pPr>
        <w:spacing w:line="360" w:lineRule="exact"/>
        <w:ind w:left="1259" w:hanging="1259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【规    格】</w:t>
      </w:r>
      <w:r w:rsidRPr="000F3D5E">
        <w:rPr>
          <w:rFonts w:ascii="宋体" w:hAnsi="宋体"/>
          <w:sz w:val="24"/>
        </w:rPr>
        <w:t>1ml:0.5mg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【用法用量】</w:t>
      </w:r>
      <w:r w:rsidRPr="000F3D5E">
        <w:rPr>
          <w:rFonts w:ascii="宋体" w:hAnsi="宋体" w:hint="eastAsia"/>
          <w:sz w:val="24"/>
        </w:rPr>
        <w:t>肌注。成人，1日0.025～0.1</w:t>
      </w:r>
      <w:r w:rsidRPr="000F3D5E">
        <w:rPr>
          <w:rFonts w:ascii="宋体" w:hAnsi="宋体"/>
          <w:sz w:val="24"/>
        </w:rPr>
        <w:t>mg</w:t>
      </w:r>
      <w:r w:rsidRPr="000F3D5E">
        <w:rPr>
          <w:rFonts w:ascii="宋体" w:hAnsi="宋体" w:hint="eastAsia"/>
          <w:sz w:val="24"/>
        </w:rPr>
        <w:t>或隔日0.05～0.2</w:t>
      </w:r>
      <w:r w:rsidRPr="000F3D5E">
        <w:rPr>
          <w:rFonts w:ascii="宋体" w:hAnsi="宋体"/>
          <w:sz w:val="24"/>
        </w:rPr>
        <w:t>mg</w:t>
      </w:r>
      <w:r w:rsidRPr="000F3D5E">
        <w:rPr>
          <w:rFonts w:ascii="宋体" w:hAnsi="宋体" w:hint="eastAsia"/>
          <w:sz w:val="24"/>
        </w:rPr>
        <w:t>。用于神经炎时，用量可酌增。本品也可用于穴位封闭。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【不良反应】</w:t>
      </w:r>
      <w:r w:rsidRPr="000F3D5E">
        <w:rPr>
          <w:rFonts w:ascii="宋体" w:hAnsi="宋体" w:hint="eastAsia"/>
          <w:sz w:val="24"/>
        </w:rPr>
        <w:t>肌注偶可引起皮疹、瘙痒、腹泻及过敏性哮喘，但发生率低，极个别有过敏性休克。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【禁    忌】</w:t>
      </w:r>
      <w:r w:rsidRPr="000F3D5E">
        <w:rPr>
          <w:rFonts w:ascii="宋体" w:hAnsi="宋体" w:hint="eastAsia"/>
          <w:sz w:val="24"/>
        </w:rPr>
        <w:t>尚不明确。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【注意事项】</w:t>
      </w:r>
      <w:r w:rsidRPr="000F3D5E">
        <w:rPr>
          <w:rFonts w:ascii="宋体" w:hAnsi="宋体" w:hint="eastAsia"/>
          <w:sz w:val="24"/>
        </w:rPr>
        <w:t xml:space="preserve"> 1、可致过敏反应，甚至过敏性休克，不宜滥用。2、有条件时，用药过程中应监测血中维生素</w:t>
      </w:r>
      <w:r w:rsidRPr="000F3D5E">
        <w:rPr>
          <w:rFonts w:ascii="宋体" w:hAnsi="宋体"/>
          <w:sz w:val="24"/>
        </w:rPr>
        <w:t>B</w:t>
      </w:r>
      <w:r w:rsidRPr="000F3D5E">
        <w:rPr>
          <w:rFonts w:ascii="宋体" w:hAnsi="宋体"/>
          <w:sz w:val="24"/>
          <w:vertAlign w:val="subscript"/>
        </w:rPr>
        <w:t>12</w:t>
      </w:r>
      <w:r w:rsidRPr="000F3D5E">
        <w:rPr>
          <w:rFonts w:ascii="宋体" w:hAnsi="宋体" w:hint="eastAsia"/>
          <w:sz w:val="24"/>
        </w:rPr>
        <w:t>浓度。3、痛风患者使用本品可能发生高尿酸血症。4、治疗巨细胞贫血，在起始48小时，宜查血钾，以防止低钾血症。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【</w:t>
      </w:r>
      <w:r w:rsidRPr="000F3D5E">
        <w:rPr>
          <w:rFonts w:ascii="宋体" w:hAnsi="宋体" w:hint="eastAsia"/>
          <w:b/>
          <w:bCs/>
          <w:sz w:val="24"/>
        </w:rPr>
        <w:t>孕妇及哺乳期妇女用药</w:t>
      </w:r>
      <w:r w:rsidRPr="000F3D5E">
        <w:rPr>
          <w:rFonts w:ascii="宋体" w:hAnsi="宋体" w:hint="eastAsia"/>
          <w:sz w:val="24"/>
        </w:rPr>
        <w:t>】尚不明确。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【儿童用药】</w:t>
      </w:r>
      <w:r w:rsidRPr="000F3D5E">
        <w:rPr>
          <w:rFonts w:ascii="宋体" w:hAnsi="宋体" w:hint="eastAsia"/>
          <w:sz w:val="24"/>
        </w:rPr>
        <w:t>肌注25～100</w:t>
      </w:r>
      <w:r w:rsidRPr="000F3D5E">
        <w:rPr>
          <w:rFonts w:ascii="宋体" w:hAnsi="宋体" w:hint="eastAsia"/>
          <w:b/>
          <w:sz w:val="24"/>
        </w:rPr>
        <w:t>ｕ</w:t>
      </w:r>
      <w:r w:rsidRPr="000F3D5E">
        <w:rPr>
          <w:rFonts w:ascii="宋体" w:hAnsi="宋体"/>
          <w:b/>
          <w:sz w:val="24"/>
        </w:rPr>
        <w:t>g</w:t>
      </w:r>
      <w:r w:rsidRPr="000F3D5E">
        <w:rPr>
          <w:rFonts w:ascii="宋体" w:hAnsi="宋体"/>
          <w:sz w:val="24"/>
        </w:rPr>
        <w:t xml:space="preserve">  /</w:t>
      </w:r>
      <w:r w:rsidRPr="000F3D5E">
        <w:rPr>
          <w:rFonts w:ascii="宋体" w:hAnsi="宋体" w:hint="eastAsia"/>
          <w:sz w:val="24"/>
        </w:rPr>
        <w:t>次，每日或隔日1次。避免同一部位反复给药，且对新生儿、早产儿、婴儿、幼儿要特别小心。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lastRenderedPageBreak/>
        <w:t>【老年用药】</w:t>
      </w:r>
      <w:r w:rsidRPr="000F3D5E">
        <w:rPr>
          <w:rFonts w:ascii="宋体" w:hAnsi="宋体" w:hint="eastAsia"/>
          <w:sz w:val="24"/>
        </w:rPr>
        <w:t>尚不明确。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【药物相互作用】</w:t>
      </w:r>
      <w:r w:rsidRPr="000F3D5E">
        <w:rPr>
          <w:rFonts w:ascii="宋体" w:hAnsi="宋体" w:hint="eastAsia"/>
          <w:sz w:val="24"/>
        </w:rPr>
        <w:t>氨基水杨酸、氯霉素可减弱本品的作用。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【药物过量】</w:t>
      </w:r>
      <w:r w:rsidRPr="000F3D5E">
        <w:rPr>
          <w:rFonts w:ascii="宋体" w:hAnsi="宋体" w:hint="eastAsia"/>
          <w:sz w:val="24"/>
        </w:rPr>
        <w:t>尚不明确。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【药理毒理】</w:t>
      </w:r>
      <w:r w:rsidRPr="000F3D5E">
        <w:rPr>
          <w:rFonts w:ascii="宋体" w:hAnsi="宋体" w:hint="eastAsia"/>
          <w:sz w:val="24"/>
        </w:rPr>
        <w:t>本品为抗贫血药。维生素</w:t>
      </w:r>
      <w:r w:rsidRPr="000F3D5E">
        <w:rPr>
          <w:rFonts w:ascii="宋体" w:hAnsi="宋体"/>
          <w:sz w:val="24"/>
        </w:rPr>
        <w:t>B</w:t>
      </w:r>
      <w:r w:rsidRPr="000F3D5E">
        <w:rPr>
          <w:rFonts w:ascii="宋体" w:hAnsi="宋体"/>
          <w:sz w:val="24"/>
          <w:vertAlign w:val="subscript"/>
        </w:rPr>
        <w:t>12</w:t>
      </w:r>
      <w:r w:rsidRPr="000F3D5E">
        <w:rPr>
          <w:rFonts w:ascii="宋体" w:hAnsi="宋体" w:hint="eastAsia"/>
          <w:sz w:val="24"/>
        </w:rPr>
        <w:t>参与体内甲基转换及叶酸代谢，促进5-甲基四氢叶酸转变为四氢叶酸。缺乏时，导致DNA合成障碍，影响红细胞的成熟。本品还促使甲基丙二酸转变为琥珀酸，参与三羧酸循环。此作用关系到神经髓鞘脂类的合成及维持有髓神经纤维功能完整，维生素</w:t>
      </w:r>
      <w:r w:rsidRPr="000F3D5E">
        <w:rPr>
          <w:rFonts w:ascii="宋体" w:hAnsi="宋体"/>
          <w:sz w:val="24"/>
        </w:rPr>
        <w:t>B</w:t>
      </w:r>
      <w:r w:rsidRPr="000F3D5E">
        <w:rPr>
          <w:rFonts w:ascii="宋体" w:hAnsi="宋体"/>
          <w:sz w:val="24"/>
          <w:vertAlign w:val="subscript"/>
        </w:rPr>
        <w:t>12</w:t>
      </w:r>
      <w:r w:rsidRPr="000F3D5E">
        <w:rPr>
          <w:rFonts w:ascii="宋体" w:hAnsi="宋体" w:hint="eastAsia"/>
          <w:sz w:val="24"/>
        </w:rPr>
        <w:t>缺乏症的神经损害可能与此有关。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【药代动力学】</w:t>
      </w:r>
      <w:r w:rsidRPr="000F3D5E">
        <w:rPr>
          <w:rFonts w:ascii="宋体" w:hAnsi="宋体" w:hint="eastAsia"/>
          <w:sz w:val="24"/>
        </w:rPr>
        <w:t>肌注后吸收迅速而完全，约1</w:t>
      </w:r>
      <w:r w:rsidRPr="000F3D5E">
        <w:rPr>
          <w:rFonts w:ascii="宋体" w:hAnsi="宋体"/>
          <w:sz w:val="24"/>
        </w:rPr>
        <w:t>h</w:t>
      </w:r>
      <w:r w:rsidRPr="000F3D5E">
        <w:rPr>
          <w:rFonts w:ascii="宋体" w:hAnsi="宋体" w:hint="eastAsia"/>
          <w:sz w:val="24"/>
        </w:rPr>
        <w:t>血药浓度达峰值；体内分布较广，但主要贮存于肝脏，成人总贮量为4-5</w:t>
      </w:r>
      <w:r w:rsidRPr="000F3D5E">
        <w:rPr>
          <w:rFonts w:ascii="宋体" w:hAnsi="宋体"/>
          <w:sz w:val="24"/>
        </w:rPr>
        <w:t>mg</w:t>
      </w:r>
      <w:r w:rsidRPr="000F3D5E">
        <w:rPr>
          <w:rFonts w:ascii="宋体" w:hAnsi="宋体" w:hint="eastAsia"/>
          <w:sz w:val="24"/>
        </w:rPr>
        <w:t>；大部分在8</w:t>
      </w:r>
      <w:r w:rsidRPr="000F3D5E">
        <w:rPr>
          <w:rFonts w:ascii="宋体" w:hAnsi="宋体"/>
          <w:sz w:val="24"/>
        </w:rPr>
        <w:t>h</w:t>
      </w:r>
      <w:r w:rsidRPr="000F3D5E">
        <w:rPr>
          <w:rFonts w:ascii="宋体" w:hAnsi="宋体" w:hint="eastAsia"/>
          <w:sz w:val="24"/>
        </w:rPr>
        <w:t>经肾脏排泄，剂量愈大，排泄愈多。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【贮    藏】</w:t>
      </w:r>
      <w:r w:rsidRPr="000F3D5E">
        <w:rPr>
          <w:rFonts w:ascii="宋体" w:hAnsi="宋体" w:hint="eastAsia"/>
          <w:sz w:val="24"/>
        </w:rPr>
        <w:t>遮光，密闭保存。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b/>
          <w:bCs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【包    装】</w:t>
      </w:r>
      <w:proofErr w:type="gramStart"/>
      <w:r w:rsidRPr="000F3D5E">
        <w:rPr>
          <w:rFonts w:ascii="宋体" w:hAnsi="宋体" w:hint="eastAsia"/>
          <w:sz w:val="24"/>
        </w:rPr>
        <w:t>低硼硅玻璃</w:t>
      </w:r>
      <w:proofErr w:type="gramEnd"/>
      <w:r w:rsidRPr="000F3D5E">
        <w:rPr>
          <w:rFonts w:ascii="宋体" w:hAnsi="宋体" w:hint="eastAsia"/>
          <w:sz w:val="24"/>
        </w:rPr>
        <w:t>安瓿、纸盒，10支/盒</w:t>
      </w:r>
      <w:r w:rsidRPr="000F3D5E">
        <w:rPr>
          <w:rFonts w:ascii="宋体" w:hAnsi="宋体" w:hint="eastAsia"/>
          <w:bCs/>
          <w:sz w:val="24"/>
        </w:rPr>
        <w:t>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【有 效 期】</w:t>
      </w:r>
      <w:r w:rsidRPr="000F3D5E">
        <w:rPr>
          <w:rFonts w:ascii="宋体" w:hAnsi="宋体" w:hint="eastAsia"/>
          <w:sz w:val="24"/>
        </w:rPr>
        <w:t>24个月。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/>
          <w:sz w:val="24"/>
        </w:rPr>
        <w:t>【</w:t>
      </w:r>
      <w:r w:rsidRPr="000F3D5E">
        <w:rPr>
          <w:rFonts w:ascii="宋体" w:hAnsi="宋体" w:hint="eastAsia"/>
          <w:b/>
          <w:bCs/>
          <w:sz w:val="24"/>
        </w:rPr>
        <w:t>执行标准</w:t>
      </w:r>
      <w:r w:rsidRPr="000F3D5E">
        <w:rPr>
          <w:rFonts w:ascii="宋体" w:hAnsi="宋体"/>
          <w:sz w:val="24"/>
        </w:rPr>
        <w:t>】</w:t>
      </w:r>
      <w:r w:rsidRPr="000F3D5E">
        <w:rPr>
          <w:rFonts w:ascii="宋体" w:hAnsi="宋体" w:hint="eastAsia"/>
          <w:sz w:val="24"/>
        </w:rPr>
        <w:t>中国药典2020年版二部。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 w:hint="eastAsia"/>
          <w:b/>
          <w:bCs/>
          <w:sz w:val="24"/>
        </w:rPr>
        <w:t>【批准文号】</w:t>
      </w:r>
      <w:r w:rsidRPr="000F3D5E">
        <w:rPr>
          <w:rFonts w:ascii="宋体" w:hAnsi="宋体" w:hint="eastAsia"/>
          <w:sz w:val="24"/>
        </w:rPr>
        <w:t>国药准字</w:t>
      </w:r>
      <w:r w:rsidRPr="000F3D5E">
        <w:rPr>
          <w:rFonts w:ascii="宋体" w:hAnsi="宋体"/>
          <w:sz w:val="24"/>
        </w:rPr>
        <w:t>H41023607</w:t>
      </w:r>
    </w:p>
    <w:p w:rsidR="002B00A6" w:rsidRPr="000F3D5E" w:rsidRDefault="002B00A6" w:rsidP="002B00A6">
      <w:pPr>
        <w:outlineLvl w:val="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【</w:t>
      </w:r>
      <w:r w:rsidRPr="000F3D5E">
        <w:rPr>
          <w:rFonts w:ascii="宋体" w:hAnsi="宋体" w:hint="eastAsia"/>
          <w:b/>
          <w:sz w:val="24"/>
        </w:rPr>
        <w:t>上市许可持有人</w:t>
      </w:r>
      <w:r w:rsidRPr="000F3D5E">
        <w:rPr>
          <w:rFonts w:ascii="宋体" w:hAnsi="宋体" w:hint="eastAsia"/>
          <w:sz w:val="24"/>
        </w:rPr>
        <w:t>】海南制药厂有限公司制药二厂</w:t>
      </w:r>
    </w:p>
    <w:p w:rsidR="002B00A6" w:rsidRPr="000F3D5E" w:rsidRDefault="002B00A6" w:rsidP="002B00A6">
      <w:pPr>
        <w:outlineLvl w:val="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【</w:t>
      </w:r>
      <w:r w:rsidRPr="000F3D5E">
        <w:rPr>
          <w:rFonts w:ascii="宋体" w:hAnsi="宋体" w:hint="eastAsia"/>
          <w:b/>
          <w:sz w:val="24"/>
        </w:rPr>
        <w:t>地    址</w:t>
      </w:r>
      <w:r w:rsidRPr="000F3D5E">
        <w:rPr>
          <w:rFonts w:ascii="宋体" w:hAnsi="宋体" w:hint="eastAsia"/>
          <w:sz w:val="24"/>
        </w:rPr>
        <w:t>】林州市</w:t>
      </w:r>
      <w:proofErr w:type="gramStart"/>
      <w:r w:rsidRPr="000F3D5E">
        <w:rPr>
          <w:rFonts w:ascii="宋体" w:hAnsi="宋体" w:hint="eastAsia"/>
          <w:sz w:val="24"/>
        </w:rPr>
        <w:t>史家河</w:t>
      </w:r>
      <w:proofErr w:type="gramEnd"/>
      <w:r w:rsidRPr="000F3D5E">
        <w:rPr>
          <w:rFonts w:ascii="宋体" w:hAnsi="宋体" w:hint="eastAsia"/>
          <w:sz w:val="24"/>
        </w:rPr>
        <w:t>工业园区</w:t>
      </w:r>
    </w:p>
    <w:p w:rsidR="002B00A6" w:rsidRPr="000F3D5E" w:rsidRDefault="002B00A6" w:rsidP="002B00A6">
      <w:pPr>
        <w:spacing w:line="360" w:lineRule="exact"/>
        <w:rPr>
          <w:rFonts w:ascii="宋体" w:hAnsi="宋体"/>
          <w:sz w:val="24"/>
        </w:rPr>
      </w:pPr>
      <w:r w:rsidRPr="000F3D5E">
        <w:rPr>
          <w:rFonts w:ascii="宋体" w:hAnsi="宋体"/>
          <w:sz w:val="24"/>
        </w:rPr>
        <w:t>【</w:t>
      </w:r>
      <w:r w:rsidRPr="000F3D5E">
        <w:rPr>
          <w:rFonts w:ascii="宋体" w:hAnsi="宋体"/>
          <w:b/>
          <w:bCs/>
          <w:sz w:val="24"/>
        </w:rPr>
        <w:t>生产企业</w:t>
      </w:r>
      <w:r w:rsidRPr="000F3D5E">
        <w:rPr>
          <w:rFonts w:ascii="宋体" w:hAnsi="宋体"/>
          <w:sz w:val="24"/>
        </w:rPr>
        <w:t>】</w:t>
      </w:r>
    </w:p>
    <w:p w:rsidR="002B00A6" w:rsidRPr="000F3D5E" w:rsidRDefault="002B00A6" w:rsidP="002B00A6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企业名称：海南制药厂有限公司制药二厂</w:t>
      </w:r>
    </w:p>
    <w:p w:rsidR="002B00A6" w:rsidRPr="000F3D5E" w:rsidRDefault="002B00A6" w:rsidP="002B00A6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生产地址：林州市</w:t>
      </w:r>
      <w:proofErr w:type="gramStart"/>
      <w:r w:rsidRPr="000F3D5E">
        <w:rPr>
          <w:rFonts w:ascii="宋体" w:hAnsi="宋体" w:hint="eastAsia"/>
          <w:sz w:val="24"/>
        </w:rPr>
        <w:t>史家河</w:t>
      </w:r>
      <w:proofErr w:type="gramEnd"/>
      <w:r w:rsidRPr="000F3D5E">
        <w:rPr>
          <w:rFonts w:ascii="宋体" w:hAnsi="宋体" w:hint="eastAsia"/>
          <w:sz w:val="24"/>
        </w:rPr>
        <w:t>工业园区</w:t>
      </w:r>
    </w:p>
    <w:p w:rsidR="002B00A6" w:rsidRPr="000F3D5E" w:rsidRDefault="002B00A6" w:rsidP="002B00A6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邮政编码：456592</w:t>
      </w:r>
    </w:p>
    <w:p w:rsidR="002B00A6" w:rsidRPr="000F3D5E" w:rsidRDefault="002B00A6" w:rsidP="002B00A6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>电话号码：0372-6515111</w:t>
      </w:r>
    </w:p>
    <w:p w:rsidR="002B00A6" w:rsidRPr="000F3D5E" w:rsidRDefault="002B00A6" w:rsidP="002B00A6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F3D5E">
        <w:rPr>
          <w:rFonts w:ascii="宋体" w:hAnsi="宋体" w:hint="eastAsia"/>
          <w:sz w:val="24"/>
        </w:rPr>
        <w:t xml:space="preserve">传真号码：0372-6515111 </w:t>
      </w:r>
    </w:p>
    <w:p w:rsidR="004D3094" w:rsidRDefault="004D3094"/>
    <w:sectPr w:rsidR="004D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A6"/>
    <w:rsid w:val="002B00A6"/>
    <w:rsid w:val="004D3094"/>
    <w:rsid w:val="006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>2012dnd.com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2025-01-13T03:12:00Z</cp:lastPrinted>
  <dcterms:created xsi:type="dcterms:W3CDTF">2024-08-16T06:49:00Z</dcterms:created>
  <dcterms:modified xsi:type="dcterms:W3CDTF">2025-01-13T03:12:00Z</dcterms:modified>
</cp:coreProperties>
</file>