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F3" w:rsidRPr="00B56463" w:rsidRDefault="00C6201E" w:rsidP="00AB71F3">
      <w:pPr>
        <w:pStyle w:val="a4"/>
        <w:spacing w:line="0" w:lineRule="atLeast"/>
        <w:ind w:firstLine="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A669143" wp14:editId="5BDF9333">
            <wp:simplePos x="0" y="0"/>
            <wp:positionH relativeFrom="column">
              <wp:posOffset>4816475</wp:posOffset>
            </wp:positionH>
            <wp:positionV relativeFrom="paragraph">
              <wp:posOffset>120015</wp:posOffset>
            </wp:positionV>
            <wp:extent cx="313055" cy="368300"/>
            <wp:effectExtent l="0" t="0" r="0" b="0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AB71F3" w:rsidRPr="00B56463">
        <w:rPr>
          <w:rFonts w:ascii="宋体" w:hAnsi="宋体"/>
          <w:szCs w:val="21"/>
        </w:rPr>
        <w:t>核准日期：</w:t>
      </w:r>
      <w:r w:rsidR="00AB71F3" w:rsidRPr="00B56463">
        <w:rPr>
          <w:rFonts w:ascii="宋体" w:hAnsi="宋体" w:hint="eastAsia"/>
          <w:szCs w:val="21"/>
        </w:rPr>
        <w:t>2007年05月28日</w:t>
      </w:r>
    </w:p>
    <w:p w:rsidR="00AB71F3" w:rsidRPr="00DF5D9A" w:rsidRDefault="00AB71F3" w:rsidP="00AB71F3">
      <w:pPr>
        <w:spacing w:line="0" w:lineRule="atLeast"/>
        <w:rPr>
          <w:rFonts w:ascii="宋体" w:hAnsi="宋体"/>
          <w:szCs w:val="21"/>
        </w:rPr>
      </w:pPr>
      <w:r w:rsidRPr="00DF5D9A">
        <w:rPr>
          <w:rFonts w:ascii="宋体" w:hAnsi="宋体" w:hint="eastAsia"/>
          <w:szCs w:val="21"/>
        </w:rPr>
        <w:t>修订日期：200</w:t>
      </w:r>
      <w:r>
        <w:rPr>
          <w:rFonts w:ascii="宋体" w:hAnsi="宋体" w:hint="eastAsia"/>
          <w:szCs w:val="21"/>
        </w:rPr>
        <w:t>8</w:t>
      </w:r>
      <w:r w:rsidRPr="00DF5D9A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>12</w:t>
      </w:r>
      <w:r w:rsidRPr="00DF5D9A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11</w:t>
      </w:r>
      <w:r w:rsidRPr="00DF5D9A">
        <w:rPr>
          <w:rFonts w:ascii="宋体" w:hAnsi="宋体" w:hint="eastAsia"/>
          <w:szCs w:val="21"/>
        </w:rPr>
        <w:t>日</w:t>
      </w:r>
    </w:p>
    <w:p w:rsidR="00AB71F3" w:rsidRPr="00DF5D9A" w:rsidRDefault="00AB71F3" w:rsidP="00AB71F3">
      <w:pPr>
        <w:spacing w:line="0" w:lineRule="atLeast"/>
        <w:rPr>
          <w:rFonts w:ascii="宋体" w:hAnsi="宋体"/>
          <w:szCs w:val="21"/>
        </w:rPr>
      </w:pPr>
      <w:r w:rsidRPr="00DF5D9A">
        <w:rPr>
          <w:rFonts w:ascii="宋体" w:hAnsi="宋体" w:hint="eastAsia"/>
          <w:szCs w:val="21"/>
        </w:rPr>
        <w:t>修订日期：2010年10月01日</w:t>
      </w:r>
    </w:p>
    <w:p w:rsidR="00AB71F3" w:rsidRPr="005E2006" w:rsidRDefault="00AB71F3" w:rsidP="00AB71F3">
      <w:pPr>
        <w:spacing w:line="0" w:lineRule="atLeast"/>
        <w:rPr>
          <w:rFonts w:ascii="宋体" w:hAnsi="宋体"/>
          <w:szCs w:val="21"/>
        </w:rPr>
      </w:pPr>
      <w:r w:rsidRPr="005E2006">
        <w:rPr>
          <w:rFonts w:ascii="宋体" w:hAnsi="宋体" w:hint="eastAsia"/>
          <w:szCs w:val="21"/>
        </w:rPr>
        <w:t>修订日期：2015年12月01日</w:t>
      </w:r>
    </w:p>
    <w:p w:rsidR="00AB71F3" w:rsidRPr="005E2006" w:rsidRDefault="00AB71F3" w:rsidP="00AB71F3">
      <w:pPr>
        <w:spacing w:line="0" w:lineRule="atLeast"/>
        <w:rPr>
          <w:rFonts w:ascii="宋体" w:hAnsi="宋体"/>
          <w:szCs w:val="21"/>
        </w:rPr>
      </w:pPr>
      <w:r w:rsidRPr="005E2006">
        <w:rPr>
          <w:rFonts w:ascii="宋体" w:hAnsi="宋体" w:hint="eastAsia"/>
          <w:szCs w:val="21"/>
        </w:rPr>
        <w:t>修订日期：2019年12月01日</w:t>
      </w:r>
    </w:p>
    <w:p w:rsidR="00AB71F3" w:rsidRPr="005E2006" w:rsidRDefault="00AB71F3" w:rsidP="00AB71F3">
      <w:pPr>
        <w:spacing w:line="0" w:lineRule="atLeast"/>
        <w:rPr>
          <w:rFonts w:ascii="宋体" w:hAnsi="宋体"/>
          <w:szCs w:val="21"/>
        </w:rPr>
      </w:pPr>
      <w:r w:rsidRPr="005E2006">
        <w:rPr>
          <w:rFonts w:ascii="宋体" w:hAnsi="宋体" w:hint="eastAsia"/>
          <w:szCs w:val="21"/>
        </w:rPr>
        <w:t>修订日期：2020年12月30日</w:t>
      </w:r>
    </w:p>
    <w:p w:rsidR="00AB71F3" w:rsidRPr="00DF5D9A" w:rsidRDefault="00AB71F3" w:rsidP="00AB71F3">
      <w:pPr>
        <w:rPr>
          <w:rFonts w:ascii="宋体" w:hAnsi="宋体"/>
          <w:sz w:val="24"/>
        </w:rPr>
      </w:pPr>
      <w:r w:rsidRPr="005E2006">
        <w:rPr>
          <w:rFonts w:ascii="宋体" w:hAnsi="宋体" w:hint="eastAsia"/>
          <w:szCs w:val="21"/>
        </w:rPr>
        <w:t>修订日期：</w:t>
      </w:r>
      <w:r>
        <w:rPr>
          <w:rFonts w:ascii="宋体" w:hAnsi="宋体" w:hint="eastAsia"/>
          <w:szCs w:val="21"/>
        </w:rPr>
        <w:t>2024年03月12日</w:t>
      </w:r>
    </w:p>
    <w:p w:rsidR="00AB71F3" w:rsidRPr="00085F54" w:rsidRDefault="00AB71F3" w:rsidP="00AB71F3">
      <w:pPr>
        <w:ind w:firstLineChars="100" w:firstLine="24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 xml:space="preserve">    </w:t>
      </w:r>
    </w:p>
    <w:p w:rsidR="00AB71F3" w:rsidRPr="00085F54" w:rsidRDefault="00AB71F3" w:rsidP="00AB71F3">
      <w:pPr>
        <w:autoSpaceDE w:val="0"/>
        <w:autoSpaceDN w:val="0"/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 w:rsidRPr="00085F54">
        <w:rPr>
          <w:rFonts w:ascii="宋体" w:hAnsi="宋体" w:hint="eastAsia"/>
          <w:b/>
          <w:bCs/>
          <w:sz w:val="32"/>
          <w:szCs w:val="32"/>
        </w:rPr>
        <w:t>碳酸利多卡因注射液说明书</w:t>
      </w:r>
    </w:p>
    <w:p w:rsidR="00AB71F3" w:rsidRPr="00085F54" w:rsidRDefault="00AB71F3" w:rsidP="00AB71F3">
      <w:pPr>
        <w:spacing w:line="360" w:lineRule="auto"/>
        <w:jc w:val="center"/>
        <w:rPr>
          <w:rFonts w:ascii="宋体" w:hAnsi="宋体"/>
          <w:b/>
          <w:sz w:val="24"/>
        </w:rPr>
      </w:pPr>
      <w:r w:rsidRPr="00085F54">
        <w:rPr>
          <w:rFonts w:ascii="宋体" w:hAnsi="宋体"/>
          <w:b/>
          <w:sz w:val="24"/>
        </w:rPr>
        <w:t>请仔细阅读说明书并在医师指导下使用</w:t>
      </w:r>
    </w:p>
    <w:p w:rsidR="00AB71F3" w:rsidRPr="00085F54" w:rsidRDefault="00AB71F3" w:rsidP="00AB71F3">
      <w:pPr>
        <w:tabs>
          <w:tab w:val="left" w:pos="2655"/>
        </w:tabs>
        <w:spacing w:line="360" w:lineRule="exact"/>
        <w:ind w:firstLineChars="1035" w:firstLine="2182"/>
        <w:rPr>
          <w:rFonts w:ascii="宋体" w:hAnsi="宋体"/>
          <w:sz w:val="24"/>
        </w:rPr>
      </w:pPr>
      <w:r w:rsidRPr="00085F54">
        <w:rPr>
          <w:rFonts w:ascii="宋体" w:hAnsi="宋体" w:hint="eastAsia"/>
          <w:b/>
          <w:bCs/>
        </w:rPr>
        <w:t xml:space="preserve">          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药品名称</w:t>
      </w:r>
      <w:r w:rsidRPr="00085F54">
        <w:rPr>
          <w:rFonts w:ascii="宋体" w:hAnsi="宋体" w:hint="eastAsia"/>
          <w:sz w:val="24"/>
        </w:rPr>
        <w:t>】</w:t>
      </w:r>
    </w:p>
    <w:p w:rsidR="00AB71F3" w:rsidRPr="00085F54" w:rsidRDefault="00AB71F3" w:rsidP="00AB71F3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通用名称：</w:t>
      </w:r>
      <w:r w:rsidRPr="00085F54">
        <w:rPr>
          <w:rFonts w:ascii="宋体" w:hAnsi="宋体"/>
          <w:sz w:val="24"/>
        </w:rPr>
        <w:t>碳酸利多卡因注射液</w:t>
      </w:r>
    </w:p>
    <w:p w:rsidR="00AB71F3" w:rsidRPr="00085F54" w:rsidRDefault="00AB71F3" w:rsidP="00AB71F3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英文名称：</w:t>
      </w:r>
      <w:r w:rsidRPr="00085F54">
        <w:rPr>
          <w:rFonts w:ascii="宋体" w:hAnsi="宋体"/>
          <w:sz w:val="24"/>
        </w:rPr>
        <w:t>Lidocaine Carbonate Injec</w:t>
      </w:r>
      <w:r w:rsidRPr="00085F54">
        <w:rPr>
          <w:rFonts w:ascii="宋体" w:hAnsi="宋体" w:hint="eastAsia"/>
          <w:sz w:val="24"/>
        </w:rPr>
        <w:t>t</w:t>
      </w:r>
      <w:r w:rsidRPr="00085F54">
        <w:rPr>
          <w:rFonts w:ascii="宋体" w:hAnsi="宋体"/>
          <w:sz w:val="24"/>
        </w:rPr>
        <w:t>ion</w:t>
      </w:r>
    </w:p>
    <w:p w:rsidR="00AB71F3" w:rsidRPr="00085F54" w:rsidRDefault="00AB71F3" w:rsidP="00AB71F3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汉语拼音：</w:t>
      </w:r>
      <w:proofErr w:type="spellStart"/>
      <w:r w:rsidRPr="00085F54">
        <w:rPr>
          <w:rFonts w:ascii="宋体" w:hAnsi="宋体"/>
          <w:sz w:val="24"/>
        </w:rPr>
        <w:t>Tansuan</w:t>
      </w:r>
      <w:proofErr w:type="spellEnd"/>
      <w:r w:rsidRPr="00085F54">
        <w:rPr>
          <w:rFonts w:ascii="宋体" w:hAnsi="宋体"/>
          <w:sz w:val="24"/>
        </w:rPr>
        <w:t xml:space="preserve"> </w:t>
      </w:r>
      <w:proofErr w:type="spellStart"/>
      <w:r w:rsidRPr="00085F54">
        <w:rPr>
          <w:rFonts w:ascii="宋体" w:hAnsi="宋体"/>
          <w:sz w:val="24"/>
        </w:rPr>
        <w:t>Liduokayin</w:t>
      </w:r>
      <w:proofErr w:type="spellEnd"/>
      <w:r w:rsidRPr="00085F54">
        <w:rPr>
          <w:rFonts w:ascii="宋体" w:hAnsi="宋体"/>
          <w:sz w:val="24"/>
        </w:rPr>
        <w:t xml:space="preserve"> </w:t>
      </w:r>
      <w:proofErr w:type="spellStart"/>
      <w:r w:rsidRPr="00085F54">
        <w:rPr>
          <w:rFonts w:ascii="宋体" w:hAnsi="宋体"/>
          <w:sz w:val="24"/>
        </w:rPr>
        <w:t>Zhusheye</w:t>
      </w:r>
      <w:proofErr w:type="spellEnd"/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成份</w:t>
      </w:r>
      <w:r w:rsidRPr="00085F54">
        <w:rPr>
          <w:rFonts w:ascii="宋体" w:hAnsi="宋体" w:hint="eastAsia"/>
          <w:sz w:val="24"/>
        </w:rPr>
        <w:t>】本品的主要成份为</w:t>
      </w:r>
      <w:r w:rsidRPr="00085F54">
        <w:rPr>
          <w:rFonts w:ascii="宋体" w:hAnsi="宋体"/>
          <w:sz w:val="24"/>
        </w:rPr>
        <w:t>盐酸利多卡因</w:t>
      </w:r>
      <w:r w:rsidRPr="00085F54">
        <w:rPr>
          <w:rFonts w:ascii="宋体" w:hAnsi="宋体" w:hint="eastAsia"/>
          <w:sz w:val="24"/>
        </w:rPr>
        <w:t>、</w:t>
      </w:r>
      <w:r w:rsidRPr="00085F54">
        <w:rPr>
          <w:rFonts w:ascii="宋体" w:hAnsi="宋体"/>
          <w:sz w:val="24"/>
        </w:rPr>
        <w:t>碳酸氢钠</w:t>
      </w:r>
      <w:r w:rsidRPr="00085F54">
        <w:rPr>
          <w:rFonts w:ascii="宋体" w:hAnsi="宋体" w:hint="eastAsia"/>
          <w:sz w:val="24"/>
        </w:rPr>
        <w:t>，为</w:t>
      </w:r>
      <w:r w:rsidRPr="00085F54">
        <w:rPr>
          <w:rFonts w:ascii="宋体" w:hAnsi="宋体"/>
          <w:sz w:val="24"/>
        </w:rPr>
        <w:t>盐酸利多卡因</w:t>
      </w:r>
      <w:r w:rsidRPr="00085F54">
        <w:rPr>
          <w:rFonts w:ascii="宋体" w:hAnsi="宋体" w:hint="eastAsia"/>
          <w:sz w:val="24"/>
        </w:rPr>
        <w:t>与</w:t>
      </w:r>
      <w:r w:rsidRPr="00085F54">
        <w:rPr>
          <w:rFonts w:ascii="宋体" w:hAnsi="宋体"/>
          <w:sz w:val="24"/>
        </w:rPr>
        <w:t>碳酸氢钠</w:t>
      </w:r>
      <w:r w:rsidRPr="00085F54">
        <w:rPr>
          <w:rFonts w:ascii="宋体" w:hAnsi="宋体" w:hint="eastAsia"/>
          <w:sz w:val="24"/>
        </w:rPr>
        <w:t>在CO</w:t>
      </w:r>
      <w:r w:rsidRPr="00085F54">
        <w:rPr>
          <w:rFonts w:ascii="宋体" w:hAnsi="宋体" w:hint="eastAsia"/>
          <w:sz w:val="24"/>
          <w:vertAlign w:val="subscript"/>
        </w:rPr>
        <w:t>2</w:t>
      </w:r>
      <w:r w:rsidRPr="00085F54">
        <w:rPr>
          <w:rFonts w:ascii="宋体" w:hAnsi="宋体" w:hint="eastAsia"/>
          <w:sz w:val="24"/>
        </w:rPr>
        <w:t>饱和条件下制成的</w:t>
      </w:r>
      <w:r w:rsidRPr="00085F54">
        <w:rPr>
          <w:rFonts w:ascii="宋体" w:hAnsi="宋体"/>
          <w:sz w:val="24"/>
        </w:rPr>
        <w:t>碳酸利多卡因</w:t>
      </w:r>
      <w:r w:rsidRPr="00085F54">
        <w:rPr>
          <w:rFonts w:ascii="宋体" w:hAnsi="宋体" w:hint="eastAsia"/>
          <w:sz w:val="24"/>
        </w:rPr>
        <w:t>灭菌水溶</w:t>
      </w:r>
      <w:r w:rsidRPr="00085F54">
        <w:rPr>
          <w:rFonts w:ascii="宋体" w:hAnsi="宋体"/>
          <w:sz w:val="24"/>
        </w:rPr>
        <w:t>液</w:t>
      </w:r>
      <w:r w:rsidRPr="00085F54">
        <w:rPr>
          <w:rFonts w:ascii="宋体" w:hAnsi="宋体" w:hint="eastAsia"/>
          <w:sz w:val="24"/>
        </w:rPr>
        <w:t>。</w:t>
      </w:r>
    </w:p>
    <w:p w:rsidR="00AB71F3" w:rsidRPr="00085F54" w:rsidRDefault="00AB71F3" w:rsidP="00AB71F3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085F54">
        <w:rPr>
          <w:rFonts w:ascii="宋体" w:hAnsi="宋体"/>
          <w:sz w:val="24"/>
        </w:rPr>
        <w:t>盐酸利多卡因</w:t>
      </w:r>
    </w:p>
    <w:p w:rsidR="00AB71F3" w:rsidRPr="00085F54" w:rsidRDefault="00AB71F3" w:rsidP="00AB71F3">
      <w:pPr>
        <w:spacing w:line="360" w:lineRule="exact"/>
        <w:ind w:firstLineChars="150" w:firstLine="300"/>
        <w:rPr>
          <w:rFonts w:ascii="宋体" w:hAnsi="宋体"/>
          <w:sz w:val="24"/>
        </w:rPr>
      </w:pPr>
      <w:r>
        <w:rPr>
          <w:rFonts w:ascii="宋体" w:hAnsi="宋体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111125</wp:posOffset>
            </wp:positionV>
            <wp:extent cx="2981325" cy="866775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F54">
        <w:rPr>
          <w:rFonts w:ascii="宋体" w:hAnsi="宋体" w:hint="eastAsia"/>
          <w:sz w:val="24"/>
        </w:rPr>
        <w:t>化学结构式：</w:t>
      </w:r>
    </w:p>
    <w:p w:rsidR="00AB71F3" w:rsidRPr="00085F54" w:rsidRDefault="00AB71F3" w:rsidP="00AB71F3">
      <w:pPr>
        <w:pStyle w:val="a3"/>
        <w:ind w:rightChars="-312" w:right="-655"/>
        <w:rPr>
          <w:sz w:val="28"/>
        </w:rPr>
      </w:pPr>
    </w:p>
    <w:p w:rsidR="00AB71F3" w:rsidRPr="00085F54" w:rsidRDefault="00AB71F3" w:rsidP="00AB71F3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分子式：C</w:t>
      </w:r>
      <w:r w:rsidRPr="00085F54">
        <w:rPr>
          <w:rFonts w:ascii="宋体" w:hAnsi="宋体" w:hint="eastAsia"/>
          <w:sz w:val="24"/>
          <w:vertAlign w:val="subscript"/>
        </w:rPr>
        <w:t>14</w:t>
      </w:r>
      <w:r w:rsidRPr="00085F54">
        <w:rPr>
          <w:rFonts w:ascii="宋体" w:hAnsi="宋体" w:hint="eastAsia"/>
          <w:sz w:val="24"/>
        </w:rPr>
        <w:t>H</w:t>
      </w:r>
      <w:r w:rsidRPr="00085F54">
        <w:rPr>
          <w:rFonts w:ascii="宋体" w:hAnsi="宋体" w:hint="eastAsia"/>
          <w:sz w:val="24"/>
          <w:vertAlign w:val="subscript"/>
        </w:rPr>
        <w:t>22</w:t>
      </w:r>
      <w:r w:rsidRPr="00085F54">
        <w:rPr>
          <w:rFonts w:ascii="宋体" w:hAnsi="宋体" w:hint="eastAsia"/>
          <w:sz w:val="24"/>
        </w:rPr>
        <w:t>N</w:t>
      </w:r>
      <w:r w:rsidRPr="00085F54">
        <w:rPr>
          <w:rFonts w:ascii="宋体" w:hAnsi="宋体" w:hint="eastAsia"/>
          <w:sz w:val="24"/>
          <w:vertAlign w:val="subscript"/>
        </w:rPr>
        <w:t>2</w:t>
      </w:r>
      <w:r w:rsidRPr="00085F54">
        <w:rPr>
          <w:rFonts w:ascii="宋体" w:hAnsi="宋体" w:hint="eastAsia"/>
          <w:sz w:val="24"/>
        </w:rPr>
        <w:t>O·</w:t>
      </w:r>
      <w:proofErr w:type="spellStart"/>
      <w:r w:rsidRPr="00085F54">
        <w:rPr>
          <w:rFonts w:ascii="宋体" w:hAnsi="宋体" w:hint="eastAsia"/>
          <w:sz w:val="24"/>
        </w:rPr>
        <w:t>HC</w:t>
      </w:r>
      <w:r w:rsidRPr="00085F54">
        <w:rPr>
          <w:rFonts w:ascii="宋体" w:hAnsi="宋体"/>
          <w:sz w:val="24"/>
        </w:rPr>
        <w:t>l</w:t>
      </w:r>
      <w:proofErr w:type="spellEnd"/>
      <w:r w:rsidRPr="00085F54">
        <w:rPr>
          <w:rFonts w:ascii="宋体" w:hAnsi="宋体" w:hint="eastAsia"/>
          <w:sz w:val="24"/>
        </w:rPr>
        <w:t>·</w:t>
      </w:r>
      <w:r w:rsidRPr="00085F54">
        <w:rPr>
          <w:rFonts w:ascii="宋体" w:hAnsi="宋体"/>
          <w:sz w:val="24"/>
        </w:rPr>
        <w:t>H</w:t>
      </w:r>
      <w:r w:rsidRPr="00085F54">
        <w:rPr>
          <w:rFonts w:ascii="宋体" w:hAnsi="宋体"/>
          <w:sz w:val="24"/>
          <w:vertAlign w:val="subscript"/>
        </w:rPr>
        <w:t>2</w:t>
      </w:r>
      <w:r w:rsidRPr="00085F54">
        <w:rPr>
          <w:rFonts w:ascii="宋体" w:hAnsi="宋体"/>
          <w:sz w:val="24"/>
        </w:rPr>
        <w:t>O</w:t>
      </w:r>
    </w:p>
    <w:p w:rsidR="00AB71F3" w:rsidRPr="00085F54" w:rsidRDefault="00AB71F3" w:rsidP="00AB71F3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分子量：288.82</w:t>
      </w:r>
    </w:p>
    <w:p w:rsidR="00AB71F3" w:rsidRPr="00085F54" w:rsidRDefault="00AB71F3" w:rsidP="00AB71F3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碳酸氢钠：</w:t>
      </w:r>
    </w:p>
    <w:p w:rsidR="00AB71F3" w:rsidRPr="00085F54" w:rsidRDefault="00AB71F3" w:rsidP="00AB71F3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分子式：N</w:t>
      </w:r>
      <w:r w:rsidRPr="00085F54">
        <w:rPr>
          <w:rFonts w:ascii="宋体" w:hAnsi="宋体"/>
          <w:sz w:val="24"/>
        </w:rPr>
        <w:t>aHCO</w:t>
      </w:r>
      <w:r w:rsidRPr="00085F54">
        <w:rPr>
          <w:rFonts w:ascii="宋体" w:hAnsi="宋体"/>
          <w:sz w:val="24"/>
          <w:vertAlign w:val="subscript"/>
        </w:rPr>
        <w:t>3</w:t>
      </w:r>
    </w:p>
    <w:p w:rsidR="00AB71F3" w:rsidRPr="00085F54" w:rsidRDefault="00AB71F3" w:rsidP="00AB71F3">
      <w:pPr>
        <w:spacing w:line="360" w:lineRule="exact"/>
        <w:ind w:firstLineChars="150" w:firstLine="36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分子量：84.01</w:t>
      </w:r>
    </w:p>
    <w:p w:rsidR="00AB71F3" w:rsidRPr="00085F54" w:rsidRDefault="00AB71F3" w:rsidP="00AB71F3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辅料为：注射用水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性状</w:t>
      </w:r>
      <w:r w:rsidRPr="00085F54">
        <w:rPr>
          <w:rFonts w:ascii="宋体" w:hAnsi="宋体" w:hint="eastAsia"/>
          <w:sz w:val="24"/>
        </w:rPr>
        <w:t>】本品为无色的澄明液体。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适应症</w:t>
      </w:r>
      <w:r w:rsidRPr="00085F54">
        <w:rPr>
          <w:rFonts w:ascii="宋体" w:hAnsi="宋体" w:hint="eastAsia"/>
          <w:sz w:val="24"/>
        </w:rPr>
        <w:t>】用于低位硬膜外麻醉、臂丛神经阻滞麻醉、齿槽神经阻滞麻醉。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规格</w:t>
      </w:r>
      <w:r w:rsidRPr="00085F54">
        <w:rPr>
          <w:rFonts w:ascii="宋体" w:hAnsi="宋体" w:hint="eastAsia"/>
          <w:sz w:val="24"/>
        </w:rPr>
        <w:t>】</w:t>
      </w:r>
      <w:r w:rsidRPr="00085F54">
        <w:rPr>
          <w:rFonts w:ascii="宋体" w:hAnsi="宋体"/>
          <w:sz w:val="24"/>
        </w:rPr>
        <w:t>5ml:86mg(按利多卡因计算)</w:t>
      </w:r>
      <w:r w:rsidRPr="00085F54">
        <w:rPr>
          <w:rFonts w:ascii="宋体" w:hAnsi="宋体" w:hint="eastAsia"/>
          <w:sz w:val="24"/>
        </w:rPr>
        <w:t>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用法用量</w:t>
      </w:r>
      <w:r w:rsidRPr="00085F54">
        <w:rPr>
          <w:rFonts w:ascii="宋体" w:hAnsi="宋体" w:hint="eastAsia"/>
          <w:sz w:val="24"/>
        </w:rPr>
        <w:t>】溶液应澄明</w:t>
      </w:r>
      <w:r w:rsidRPr="00085F54">
        <w:rPr>
          <w:rFonts w:ascii="宋体" w:hAnsi="宋体"/>
          <w:sz w:val="24"/>
        </w:rPr>
        <w:t>，药液宜现用现抽，抽吸时尽量减少空气吸入</w:t>
      </w:r>
      <w:r w:rsidRPr="00085F54">
        <w:rPr>
          <w:rFonts w:ascii="宋体" w:hAnsi="宋体" w:hint="eastAsia"/>
          <w:sz w:val="24"/>
        </w:rPr>
        <w:t>，</w:t>
      </w:r>
      <w:r w:rsidRPr="00085F54">
        <w:rPr>
          <w:rFonts w:ascii="宋体" w:hAnsi="宋体"/>
          <w:sz w:val="24"/>
        </w:rPr>
        <w:t>药液抽入注射器后直接</w:t>
      </w:r>
      <w:r w:rsidRPr="00085F54">
        <w:rPr>
          <w:rFonts w:ascii="宋体" w:hAnsi="宋体" w:hint="eastAsia"/>
          <w:sz w:val="24"/>
        </w:rPr>
        <w:t>使用。剩余溶液应弃去。（1）</w:t>
      </w:r>
      <w:r w:rsidRPr="00085F54">
        <w:rPr>
          <w:rFonts w:ascii="宋体" w:hAnsi="宋体"/>
          <w:sz w:val="24"/>
        </w:rPr>
        <w:t>硬膜外阻滞:根据需要阻滞的节段数和病人情况调节用量。成人常用量为10～15ml。肝、心</w:t>
      </w:r>
      <w:r w:rsidRPr="00085F54">
        <w:rPr>
          <w:rFonts w:ascii="宋体" w:hAnsi="宋体" w:hint="eastAsia"/>
          <w:sz w:val="24"/>
        </w:rPr>
        <w:t>功能不全者用量酌减；（2）</w:t>
      </w:r>
      <w:r w:rsidRPr="00085F54">
        <w:rPr>
          <w:rFonts w:ascii="宋体" w:hAnsi="宋体"/>
          <w:sz w:val="24"/>
        </w:rPr>
        <w:t>神经干(丛)阻滞:每次15ml，极量20ml</w:t>
      </w:r>
      <w:r w:rsidRPr="00085F54">
        <w:rPr>
          <w:rFonts w:ascii="宋体" w:hAnsi="宋体" w:hint="eastAsia"/>
          <w:sz w:val="24"/>
        </w:rPr>
        <w:t>；（3）</w:t>
      </w:r>
      <w:r w:rsidRPr="00085F54">
        <w:rPr>
          <w:rFonts w:ascii="宋体" w:hAnsi="宋体"/>
          <w:sz w:val="24"/>
        </w:rPr>
        <w:t>齿槽神经阻滞:用量2ml。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不良反应</w:t>
      </w:r>
      <w:r w:rsidRPr="00085F54">
        <w:rPr>
          <w:rFonts w:ascii="宋体" w:hAnsi="宋体" w:hint="eastAsia"/>
          <w:sz w:val="24"/>
        </w:rPr>
        <w:t>】（1）</w:t>
      </w:r>
      <w:r w:rsidRPr="00085F54">
        <w:rPr>
          <w:rFonts w:ascii="宋体" w:hAnsi="宋体"/>
          <w:sz w:val="24"/>
        </w:rPr>
        <w:t>本品可作用于中枢神经系统，引起嗜睡、感觉异常、肌肉震颤、惊厥昏迷及</w:t>
      </w:r>
      <w:r w:rsidRPr="00085F54">
        <w:rPr>
          <w:rFonts w:ascii="宋体" w:hAnsi="宋体" w:hint="eastAsia"/>
          <w:sz w:val="24"/>
        </w:rPr>
        <w:t>呼吸抑制等不良反应；（2）</w:t>
      </w:r>
      <w:r w:rsidRPr="00085F54">
        <w:rPr>
          <w:rFonts w:ascii="宋体" w:hAnsi="宋体"/>
          <w:sz w:val="24"/>
        </w:rPr>
        <w:t>可引起低血压及心动过缓</w:t>
      </w:r>
      <w:r w:rsidRPr="00085F54">
        <w:rPr>
          <w:rFonts w:ascii="宋体" w:hAnsi="宋体" w:hint="eastAsia"/>
          <w:sz w:val="24"/>
        </w:rPr>
        <w:t>。</w:t>
      </w:r>
      <w:r w:rsidRPr="00085F54">
        <w:rPr>
          <w:rFonts w:ascii="宋体" w:hAnsi="宋体"/>
          <w:sz w:val="24"/>
        </w:rPr>
        <w:t>血药浓度过高，可引起心房传导速度减慢、房室传导阻滞以及抑</w:t>
      </w:r>
      <w:r w:rsidRPr="00085F54">
        <w:rPr>
          <w:rFonts w:ascii="宋体" w:hAnsi="宋体" w:hint="eastAsia"/>
          <w:sz w:val="24"/>
        </w:rPr>
        <w:t>制心肌收缩力和心输出量下降。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禁忌</w:t>
      </w:r>
      <w:r w:rsidRPr="00085F54">
        <w:rPr>
          <w:rFonts w:ascii="宋体" w:hAnsi="宋体" w:hint="eastAsia"/>
          <w:sz w:val="24"/>
        </w:rPr>
        <w:t>】（1）</w:t>
      </w:r>
      <w:r w:rsidRPr="00085F54">
        <w:rPr>
          <w:rFonts w:ascii="宋体" w:hAnsi="宋体"/>
          <w:sz w:val="24"/>
        </w:rPr>
        <w:t>对利多卡因及其他局部麻醉药过敏、阿－斯氏综合征（急性心源性</w:t>
      </w:r>
      <w:r w:rsidRPr="00085F54">
        <w:rPr>
          <w:rFonts w:ascii="宋体" w:hAnsi="宋体"/>
          <w:sz w:val="24"/>
        </w:rPr>
        <w:lastRenderedPageBreak/>
        <w:t>脑缺血综</w:t>
      </w:r>
      <w:r w:rsidRPr="00085F54">
        <w:rPr>
          <w:rFonts w:ascii="宋体" w:hAnsi="宋体" w:hint="eastAsia"/>
          <w:sz w:val="24"/>
        </w:rPr>
        <w:t>合征）、预激综合征、严重心脏传导阻滞（包括窦房、房室及心室内传导阻滞）、卟啉症、未经控制的癫痫患者禁用；（2）</w:t>
      </w:r>
      <w:r w:rsidRPr="00085F54">
        <w:rPr>
          <w:rFonts w:ascii="宋体" w:hAnsi="宋体"/>
          <w:sz w:val="24"/>
        </w:rPr>
        <w:t>本品扩散力强，一般不用于蛛网膜下腔阻滞</w:t>
      </w:r>
      <w:r w:rsidRPr="00085F54">
        <w:rPr>
          <w:rFonts w:ascii="宋体" w:hAnsi="宋体" w:hint="eastAsia"/>
          <w:sz w:val="24"/>
        </w:rPr>
        <w:t>。</w:t>
      </w:r>
      <w:proofErr w:type="gramStart"/>
      <w:r w:rsidRPr="00085F54">
        <w:rPr>
          <w:rFonts w:ascii="宋体" w:hAnsi="宋体"/>
          <w:sz w:val="24"/>
        </w:rPr>
        <w:t>慎用于</w:t>
      </w:r>
      <w:proofErr w:type="gramEnd"/>
      <w:r w:rsidRPr="00085F54">
        <w:rPr>
          <w:rFonts w:ascii="宋体" w:hAnsi="宋体"/>
          <w:sz w:val="24"/>
        </w:rPr>
        <w:t>浸润麻醉</w:t>
      </w:r>
      <w:r w:rsidRPr="00085F54">
        <w:rPr>
          <w:rFonts w:ascii="宋体" w:hAnsi="宋体" w:hint="eastAsia"/>
          <w:sz w:val="24"/>
        </w:rPr>
        <w:t>；（3）</w:t>
      </w:r>
      <w:r w:rsidRPr="00085F54">
        <w:rPr>
          <w:rFonts w:ascii="宋体" w:hAnsi="宋体"/>
          <w:sz w:val="24"/>
        </w:rPr>
        <w:t>肝肾功能障碍、肝血流量减低</w:t>
      </w:r>
      <w:r w:rsidRPr="00085F54">
        <w:rPr>
          <w:rFonts w:ascii="宋体" w:hAnsi="宋体" w:hint="eastAsia"/>
          <w:sz w:val="24"/>
        </w:rPr>
        <w:t>、充血性心力衰竭、严重心肌受损、低血容量及休克等患者慎用。</w:t>
      </w:r>
      <w:r w:rsidRPr="00085F54">
        <w:rPr>
          <w:rFonts w:ascii="宋体" w:hAnsi="宋体"/>
          <w:sz w:val="24"/>
        </w:rPr>
        <w:t>原有室内传导阻滞者也应慎用。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注意事项</w:t>
      </w:r>
      <w:r w:rsidRPr="00085F54">
        <w:rPr>
          <w:rFonts w:ascii="宋体" w:hAnsi="宋体" w:hint="eastAsia"/>
          <w:sz w:val="24"/>
        </w:rPr>
        <w:t>】（1）</w:t>
      </w:r>
      <w:r w:rsidRPr="00085F54">
        <w:rPr>
          <w:rFonts w:ascii="宋体" w:hAnsi="宋体"/>
          <w:sz w:val="24"/>
        </w:rPr>
        <w:t>由于个体间耐受差异大，应先给小量试探，无特殊情况才给常用量或足量</w:t>
      </w:r>
      <w:r w:rsidRPr="00085F54">
        <w:rPr>
          <w:rFonts w:ascii="宋体" w:hAnsi="宋体" w:hint="eastAsia"/>
          <w:sz w:val="24"/>
        </w:rPr>
        <w:t>。（2）</w:t>
      </w:r>
      <w:r w:rsidRPr="00085F54">
        <w:rPr>
          <w:rFonts w:ascii="宋体" w:hAnsi="宋体"/>
          <w:sz w:val="24"/>
        </w:rPr>
        <w:t>本品毒性较普鲁卡因大，且易于扩散，故用于局部麻醉的剂量应较后者小1/3</w:t>
      </w:r>
      <w:r w:rsidRPr="00085F54">
        <w:rPr>
          <w:rFonts w:ascii="宋体" w:hAnsi="宋体" w:hint="eastAsia"/>
          <w:sz w:val="24"/>
        </w:rPr>
        <w:t>－</w:t>
      </w:r>
      <w:r w:rsidRPr="00085F54">
        <w:rPr>
          <w:rFonts w:ascii="宋体" w:hAnsi="宋体"/>
          <w:sz w:val="24"/>
        </w:rPr>
        <w:t>1/2，同时应</w:t>
      </w:r>
      <w:r w:rsidRPr="00085F54">
        <w:rPr>
          <w:rFonts w:ascii="宋体" w:hAnsi="宋体" w:hint="eastAsia"/>
          <w:sz w:val="24"/>
        </w:rPr>
        <w:t>按规定稀释</w:t>
      </w:r>
      <w:r w:rsidRPr="00085F54">
        <w:rPr>
          <w:rFonts w:ascii="宋体" w:hAnsi="宋体"/>
          <w:sz w:val="24"/>
        </w:rPr>
        <w:t>，严格掌握浓度和用药总量，超量可引起惊厥及心跳</w:t>
      </w:r>
      <w:r w:rsidRPr="00085F54">
        <w:rPr>
          <w:rFonts w:ascii="宋体" w:hAnsi="宋体" w:hint="eastAsia"/>
          <w:sz w:val="24"/>
        </w:rPr>
        <w:t>骤</w:t>
      </w:r>
      <w:r w:rsidRPr="00085F54">
        <w:rPr>
          <w:rFonts w:ascii="宋体" w:hAnsi="宋体"/>
          <w:sz w:val="24"/>
        </w:rPr>
        <w:t>停</w:t>
      </w:r>
      <w:r w:rsidRPr="00085F54">
        <w:rPr>
          <w:rFonts w:ascii="宋体" w:hAnsi="宋体" w:hint="eastAsia"/>
          <w:sz w:val="24"/>
        </w:rPr>
        <w:t>；（3）</w:t>
      </w:r>
      <w:r w:rsidRPr="00085F54">
        <w:rPr>
          <w:rFonts w:ascii="宋体" w:hAnsi="宋体"/>
          <w:sz w:val="24"/>
        </w:rPr>
        <w:t>加用肾上腺素时，高血压患者慎用</w:t>
      </w:r>
      <w:r w:rsidRPr="00085F54">
        <w:rPr>
          <w:rFonts w:ascii="宋体" w:hAnsi="宋体" w:hint="eastAsia"/>
          <w:sz w:val="24"/>
        </w:rPr>
        <w:t>。（4）</w:t>
      </w:r>
      <w:r w:rsidRPr="00085F54">
        <w:rPr>
          <w:rFonts w:ascii="宋体" w:hAnsi="宋体"/>
          <w:sz w:val="24"/>
        </w:rPr>
        <w:t>本品血管外注射时毒性约为普鲁卡因的1</w:t>
      </w:r>
      <w:r w:rsidRPr="00085F54">
        <w:rPr>
          <w:rFonts w:ascii="宋体" w:hAnsi="宋体" w:hint="eastAsia"/>
          <w:sz w:val="24"/>
        </w:rPr>
        <w:t>－</w:t>
      </w:r>
      <w:r w:rsidRPr="00085F54">
        <w:rPr>
          <w:rFonts w:ascii="宋体" w:hAnsi="宋体"/>
          <w:sz w:val="24"/>
        </w:rPr>
        <w:t>1.5倍</w:t>
      </w:r>
      <w:r w:rsidRPr="00085F54">
        <w:rPr>
          <w:rFonts w:ascii="宋体" w:hAnsi="宋体" w:hint="eastAsia"/>
          <w:sz w:val="24"/>
        </w:rPr>
        <w:t>；</w:t>
      </w:r>
      <w:r w:rsidRPr="00085F54">
        <w:rPr>
          <w:rFonts w:ascii="宋体" w:hAnsi="宋体"/>
          <w:sz w:val="24"/>
        </w:rPr>
        <w:t>静脉注射时毒性约为普鲁卡因的两倍，其</w:t>
      </w:r>
      <w:r w:rsidRPr="00085F54">
        <w:rPr>
          <w:rFonts w:ascii="宋体" w:hAnsi="宋体" w:hint="eastAsia"/>
          <w:sz w:val="24"/>
        </w:rPr>
        <w:t>体内代谢较普鲁卡因慢</w:t>
      </w:r>
      <w:r w:rsidRPr="00085F54">
        <w:rPr>
          <w:rFonts w:ascii="宋体" w:hAnsi="宋体"/>
          <w:sz w:val="24"/>
        </w:rPr>
        <w:t>，连续滴注其速度应递减，因有蓄积作用，易引起中毒而发生惊厥</w:t>
      </w:r>
      <w:r w:rsidRPr="00085F54">
        <w:rPr>
          <w:rFonts w:ascii="宋体" w:hAnsi="宋体" w:hint="eastAsia"/>
          <w:sz w:val="24"/>
        </w:rPr>
        <w:t>；（5）</w:t>
      </w:r>
      <w:r w:rsidRPr="00085F54">
        <w:rPr>
          <w:rFonts w:ascii="宋体" w:hAnsi="宋体"/>
          <w:sz w:val="24"/>
        </w:rPr>
        <w:t>用药期间应注意检查血压、血清电解质、血药浓度监测及监测心电图，并备有</w:t>
      </w:r>
      <w:r w:rsidRPr="00085F54">
        <w:rPr>
          <w:rFonts w:ascii="宋体" w:hAnsi="宋体" w:hint="eastAsia"/>
          <w:sz w:val="24"/>
        </w:rPr>
        <w:t>抢救</w:t>
      </w:r>
      <w:r w:rsidRPr="00085F54">
        <w:rPr>
          <w:rFonts w:ascii="宋体" w:hAnsi="宋体"/>
          <w:sz w:val="24"/>
        </w:rPr>
        <w:t>设备</w:t>
      </w:r>
      <w:r w:rsidRPr="00085F54">
        <w:rPr>
          <w:rFonts w:ascii="宋体" w:hAnsi="宋体" w:hint="eastAsia"/>
          <w:sz w:val="24"/>
        </w:rPr>
        <w:t>；</w:t>
      </w:r>
      <w:r w:rsidRPr="00085F54">
        <w:rPr>
          <w:rFonts w:ascii="宋体" w:hAnsi="宋体"/>
          <w:sz w:val="24"/>
        </w:rPr>
        <w:t>心</w:t>
      </w:r>
      <w:r w:rsidRPr="00085F54">
        <w:rPr>
          <w:rFonts w:ascii="宋体" w:hAnsi="宋体" w:hint="eastAsia"/>
          <w:sz w:val="24"/>
        </w:rPr>
        <w:t>电图</w:t>
      </w:r>
      <w:r w:rsidRPr="00085F54">
        <w:rPr>
          <w:rFonts w:ascii="宋体" w:hAnsi="宋体"/>
          <w:sz w:val="24"/>
        </w:rPr>
        <w:t>P-R间期延长或QRS波增宽，出现其他心率失常或原有心率失常加重者应立即停药。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孕妇及哺乳期妇女用药</w:t>
      </w:r>
      <w:r w:rsidRPr="00085F54">
        <w:rPr>
          <w:rFonts w:ascii="宋体" w:hAnsi="宋体" w:hint="eastAsia"/>
          <w:sz w:val="24"/>
        </w:rPr>
        <w:t>】本品透过胎盘，且与胎儿蛋白结合高于成人</w:t>
      </w:r>
      <w:r w:rsidRPr="00085F54">
        <w:rPr>
          <w:rFonts w:ascii="宋体" w:hAnsi="宋体"/>
          <w:sz w:val="24"/>
        </w:rPr>
        <w:t>，母亲用药后可导致胎</w:t>
      </w:r>
      <w:r w:rsidRPr="00085F54">
        <w:rPr>
          <w:rFonts w:ascii="宋体" w:hAnsi="宋体" w:hint="eastAsia"/>
          <w:sz w:val="24"/>
        </w:rPr>
        <w:t>儿心动过缓或过速</w:t>
      </w:r>
      <w:r w:rsidRPr="00085F54">
        <w:rPr>
          <w:rFonts w:ascii="宋体" w:hAnsi="宋体"/>
          <w:sz w:val="24"/>
        </w:rPr>
        <w:t>，亦可导致新生儿高铁血红蛋白血症。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儿童用药</w:t>
      </w:r>
      <w:r w:rsidRPr="00085F54">
        <w:rPr>
          <w:rFonts w:ascii="宋体" w:hAnsi="宋体" w:hint="eastAsia"/>
          <w:sz w:val="24"/>
        </w:rPr>
        <w:t>】儿童慎用。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老年用药</w:t>
      </w:r>
      <w:r w:rsidRPr="00085F54">
        <w:rPr>
          <w:rFonts w:ascii="宋体" w:hAnsi="宋体" w:hint="eastAsia"/>
          <w:sz w:val="24"/>
        </w:rPr>
        <w:t>】年老体弱者慎用。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药物相互作用</w:t>
      </w:r>
      <w:r w:rsidRPr="00085F54">
        <w:rPr>
          <w:rFonts w:ascii="宋体" w:hAnsi="宋体" w:hint="eastAsia"/>
          <w:sz w:val="24"/>
        </w:rPr>
        <w:t>】（1）</w:t>
      </w:r>
      <w:r w:rsidRPr="00085F54">
        <w:rPr>
          <w:rFonts w:ascii="宋体" w:hAnsi="宋体"/>
          <w:sz w:val="24"/>
        </w:rPr>
        <w:t>与西</w:t>
      </w:r>
      <w:proofErr w:type="gramStart"/>
      <w:r w:rsidRPr="00085F54">
        <w:rPr>
          <w:rFonts w:ascii="宋体" w:hAnsi="宋体"/>
          <w:sz w:val="24"/>
        </w:rPr>
        <w:t>咪</w:t>
      </w:r>
      <w:proofErr w:type="gramEnd"/>
      <w:r w:rsidRPr="00085F54">
        <w:rPr>
          <w:rFonts w:ascii="宋体" w:hAnsi="宋体"/>
          <w:sz w:val="24"/>
        </w:rPr>
        <w:t>替</w:t>
      </w:r>
      <w:proofErr w:type="gramStart"/>
      <w:r w:rsidRPr="00085F54">
        <w:rPr>
          <w:rFonts w:ascii="宋体" w:hAnsi="宋体"/>
          <w:sz w:val="24"/>
        </w:rPr>
        <w:t>丁以及</w:t>
      </w:r>
      <w:proofErr w:type="gramEnd"/>
      <w:r w:rsidRPr="00085F54">
        <w:rPr>
          <w:rFonts w:ascii="宋体" w:hAnsi="宋体"/>
          <w:sz w:val="24"/>
        </w:rPr>
        <w:t>β受体阻断剂如，普</w:t>
      </w:r>
      <w:proofErr w:type="gramStart"/>
      <w:r w:rsidRPr="00085F54">
        <w:rPr>
          <w:rFonts w:ascii="宋体" w:hAnsi="宋体"/>
          <w:sz w:val="24"/>
        </w:rPr>
        <w:t>萘洛</w:t>
      </w:r>
      <w:proofErr w:type="gramEnd"/>
      <w:r w:rsidRPr="00085F54">
        <w:rPr>
          <w:rFonts w:ascii="宋体" w:hAnsi="宋体"/>
          <w:sz w:val="24"/>
        </w:rPr>
        <w:t>尔、美托洛尔、纳多洛尔合用，利多卡因经肝脏代谢受抑制，利多卡因血浓度增加，可发生心脏和神经系统不良反应，应调整利</w:t>
      </w:r>
      <w:r w:rsidRPr="00085F54">
        <w:rPr>
          <w:rFonts w:ascii="宋体" w:hAnsi="宋体" w:hint="eastAsia"/>
          <w:sz w:val="24"/>
        </w:rPr>
        <w:t>多卡因剂量</w:t>
      </w:r>
      <w:r w:rsidRPr="00085F54">
        <w:rPr>
          <w:rFonts w:ascii="宋体" w:hAnsi="宋体"/>
          <w:sz w:val="24"/>
        </w:rPr>
        <w:t>，并应心电图监护及监测利多卡因血药浓度</w:t>
      </w:r>
      <w:r w:rsidRPr="00085F54">
        <w:rPr>
          <w:rFonts w:ascii="宋体" w:hAnsi="宋体" w:hint="eastAsia"/>
          <w:sz w:val="24"/>
        </w:rPr>
        <w:t>；（2）</w:t>
      </w:r>
      <w:r w:rsidRPr="00085F54">
        <w:rPr>
          <w:rFonts w:ascii="宋体" w:hAnsi="宋体"/>
          <w:sz w:val="24"/>
        </w:rPr>
        <w:t>巴比妥类药物可促进利多卡因代谢，两药合用可引起心动过缓，窦性停搏</w:t>
      </w:r>
      <w:r w:rsidRPr="00085F54">
        <w:rPr>
          <w:rFonts w:ascii="宋体" w:hAnsi="宋体" w:hint="eastAsia"/>
          <w:sz w:val="24"/>
        </w:rPr>
        <w:t>；（3）</w:t>
      </w:r>
      <w:r w:rsidRPr="00085F54">
        <w:rPr>
          <w:rFonts w:ascii="宋体" w:hAnsi="宋体"/>
          <w:sz w:val="24"/>
        </w:rPr>
        <w:t>与普鲁卡因</w:t>
      </w:r>
      <w:proofErr w:type="gramStart"/>
      <w:r w:rsidRPr="00085F54">
        <w:rPr>
          <w:rFonts w:ascii="宋体" w:hAnsi="宋体"/>
          <w:sz w:val="24"/>
        </w:rPr>
        <w:t>胺</w:t>
      </w:r>
      <w:proofErr w:type="gramEnd"/>
      <w:r w:rsidRPr="00085F54">
        <w:rPr>
          <w:rFonts w:ascii="宋体" w:hAnsi="宋体"/>
          <w:sz w:val="24"/>
        </w:rPr>
        <w:t>合用，可产生一过性谵妄及幻觉，但不影响本品血药浓度</w:t>
      </w:r>
      <w:r w:rsidRPr="00085F54">
        <w:rPr>
          <w:rFonts w:ascii="宋体" w:hAnsi="宋体" w:hint="eastAsia"/>
          <w:sz w:val="24"/>
        </w:rPr>
        <w:t>；（4）</w:t>
      </w:r>
      <w:r w:rsidRPr="00085F54">
        <w:rPr>
          <w:rFonts w:ascii="宋体" w:hAnsi="宋体"/>
          <w:sz w:val="24"/>
        </w:rPr>
        <w:t>异丙基肾上腺素增加肝血流量，可使本品的总清除率升高</w:t>
      </w:r>
      <w:r w:rsidRPr="00085F54">
        <w:rPr>
          <w:rFonts w:ascii="宋体" w:hAnsi="宋体" w:hint="eastAsia"/>
          <w:sz w:val="24"/>
        </w:rPr>
        <w:t>；</w:t>
      </w:r>
      <w:r w:rsidRPr="00085F54">
        <w:rPr>
          <w:rFonts w:ascii="宋体" w:hAnsi="宋体"/>
          <w:sz w:val="24"/>
        </w:rPr>
        <w:t>去甲肾上腺素减少肝血流量，可使本品总清除率下降</w:t>
      </w:r>
      <w:r w:rsidRPr="00085F54">
        <w:rPr>
          <w:rFonts w:ascii="宋体" w:hAnsi="宋体" w:hint="eastAsia"/>
          <w:sz w:val="24"/>
        </w:rPr>
        <w:t>；（5）</w:t>
      </w:r>
      <w:r w:rsidRPr="00085F54">
        <w:rPr>
          <w:rFonts w:ascii="宋体" w:hAnsi="宋体"/>
          <w:sz w:val="24"/>
        </w:rPr>
        <w:t>与下列药品有配伍禁忌</w:t>
      </w:r>
      <w:r w:rsidRPr="00085F54">
        <w:rPr>
          <w:rFonts w:ascii="宋体" w:hAnsi="宋体" w:hint="eastAsia"/>
          <w:sz w:val="24"/>
        </w:rPr>
        <w:t>：苯巴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比妥</w:t>
      </w:r>
      <w:r w:rsidRPr="00085F54">
        <w:rPr>
          <w:rFonts w:ascii="宋体" w:hAnsi="宋体"/>
          <w:sz w:val="24"/>
        </w:rPr>
        <w:t>，硫喷妥钠，硝普钠，甘露醇，两性霉素B，氨</w:t>
      </w:r>
      <w:proofErr w:type="gramStart"/>
      <w:r w:rsidRPr="00085F54">
        <w:rPr>
          <w:rFonts w:ascii="宋体" w:hAnsi="宋体"/>
          <w:sz w:val="24"/>
        </w:rPr>
        <w:t>苄</w:t>
      </w:r>
      <w:proofErr w:type="gramEnd"/>
      <w:r w:rsidRPr="00085F54">
        <w:rPr>
          <w:rFonts w:ascii="宋体" w:hAnsi="宋体"/>
          <w:sz w:val="24"/>
        </w:rPr>
        <w:t>西林，磺胺</w:t>
      </w:r>
      <w:r w:rsidRPr="00085F54">
        <w:rPr>
          <w:rFonts w:ascii="宋体" w:hAnsi="宋体" w:hint="eastAsia"/>
          <w:sz w:val="24"/>
        </w:rPr>
        <w:t>嘧啶。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药物过量</w:t>
      </w:r>
      <w:r w:rsidRPr="00085F54">
        <w:rPr>
          <w:rFonts w:ascii="宋体" w:hAnsi="宋体" w:hint="eastAsia"/>
          <w:sz w:val="24"/>
        </w:rPr>
        <w:t>】用量过大：</w:t>
      </w:r>
      <w:r w:rsidRPr="00085F54">
        <w:rPr>
          <w:rFonts w:ascii="宋体" w:hAnsi="宋体"/>
          <w:sz w:val="24"/>
        </w:rPr>
        <w:t>注射部位血管丰富。使吸收过快或误入血管可引起中毒反应。血药浓</w:t>
      </w:r>
      <w:r w:rsidRPr="00085F54">
        <w:rPr>
          <w:rFonts w:ascii="宋体" w:hAnsi="宋体" w:hint="eastAsia"/>
          <w:sz w:val="24"/>
        </w:rPr>
        <w:t>度大于5</w:t>
      </w:r>
      <w:r w:rsidRPr="00085F54">
        <w:rPr>
          <w:rFonts w:ascii="宋体" w:hAnsi="宋体"/>
          <w:sz w:val="24"/>
        </w:rPr>
        <w:t>μg/ml时，早期表现为催眠、嗜睡、晕眩、寒颤，超过</w:t>
      </w:r>
      <w:r w:rsidRPr="00085F54">
        <w:rPr>
          <w:rFonts w:ascii="宋体" w:hAnsi="宋体" w:hint="eastAsia"/>
          <w:sz w:val="24"/>
        </w:rPr>
        <w:t>7</w:t>
      </w:r>
      <w:r w:rsidRPr="00085F54">
        <w:rPr>
          <w:rFonts w:ascii="宋体" w:hAnsi="宋体"/>
          <w:sz w:val="24"/>
        </w:rPr>
        <w:t>μg/ml可引起</w:t>
      </w:r>
      <w:proofErr w:type="gramStart"/>
      <w:r w:rsidRPr="00085F54">
        <w:rPr>
          <w:rFonts w:ascii="宋体" w:hAnsi="宋体"/>
          <w:sz w:val="24"/>
        </w:rPr>
        <w:t>肌颤和</w:t>
      </w:r>
      <w:proofErr w:type="gramEnd"/>
      <w:r w:rsidRPr="00085F54">
        <w:rPr>
          <w:rFonts w:ascii="宋体" w:hAnsi="宋体"/>
          <w:sz w:val="24"/>
        </w:rPr>
        <w:t>惊厥。超</w:t>
      </w:r>
      <w:r w:rsidRPr="00085F54">
        <w:rPr>
          <w:rFonts w:ascii="宋体" w:hAnsi="宋体" w:hint="eastAsia"/>
          <w:sz w:val="24"/>
        </w:rPr>
        <w:t>过</w:t>
      </w:r>
      <w:r w:rsidRPr="00085F54">
        <w:rPr>
          <w:rFonts w:ascii="宋体" w:hAnsi="宋体"/>
          <w:sz w:val="24"/>
        </w:rPr>
        <w:t>10μg/ml时心肌收缩显著抑制，可导致心动过缓、房室传导阻滞或心搏骤停。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药理毒理</w:t>
      </w:r>
      <w:r w:rsidRPr="00085F54">
        <w:rPr>
          <w:rFonts w:ascii="宋体" w:hAnsi="宋体" w:hint="eastAsia"/>
          <w:sz w:val="24"/>
        </w:rPr>
        <w:t>】本品与盐酸利多卡因相比</w:t>
      </w:r>
      <w:r w:rsidRPr="00085F54">
        <w:rPr>
          <w:rFonts w:ascii="宋体" w:hAnsi="宋体"/>
          <w:sz w:val="24"/>
        </w:rPr>
        <w:t>，起效较快，肌肉松弛也较好，表面麻醉作用为盐酸利多</w:t>
      </w:r>
      <w:r w:rsidRPr="00085F54">
        <w:rPr>
          <w:rFonts w:ascii="宋体" w:hAnsi="宋体" w:hint="eastAsia"/>
          <w:sz w:val="24"/>
        </w:rPr>
        <w:t>卡因的４倍</w:t>
      </w:r>
      <w:r w:rsidRPr="00085F54">
        <w:rPr>
          <w:rFonts w:ascii="宋体" w:hAnsi="宋体"/>
          <w:sz w:val="24"/>
        </w:rPr>
        <w:t>，浸润麻醉和椎管麻醉作用为盐酸利多卡因的２倍，传导麻醉作用为盐酸利多卡因的</w:t>
      </w:r>
      <w:r w:rsidRPr="00085F54">
        <w:rPr>
          <w:rFonts w:ascii="宋体" w:hAnsi="宋体" w:hint="eastAsia"/>
          <w:sz w:val="24"/>
        </w:rPr>
        <w:t>６倍</w:t>
      </w:r>
      <w:r w:rsidRPr="00085F54">
        <w:rPr>
          <w:rFonts w:ascii="宋体" w:hAnsi="宋体"/>
          <w:sz w:val="24"/>
        </w:rPr>
        <w:t>;毒性与盐酸利多卡因无显</w:t>
      </w:r>
      <w:r w:rsidRPr="00085F54">
        <w:rPr>
          <w:rFonts w:ascii="宋体" w:hAnsi="宋体" w:hint="eastAsia"/>
          <w:sz w:val="24"/>
        </w:rPr>
        <w:t>著</w:t>
      </w:r>
      <w:r w:rsidRPr="00085F54">
        <w:rPr>
          <w:rFonts w:ascii="宋体" w:hAnsi="宋体"/>
          <w:sz w:val="24"/>
        </w:rPr>
        <w:t>性</w:t>
      </w:r>
      <w:r w:rsidRPr="00085F54">
        <w:rPr>
          <w:rFonts w:ascii="宋体" w:hAnsi="宋体" w:hint="eastAsia"/>
          <w:sz w:val="24"/>
        </w:rPr>
        <w:t>差</w:t>
      </w:r>
      <w:r w:rsidRPr="00085F54">
        <w:rPr>
          <w:rFonts w:ascii="宋体" w:hAnsi="宋体"/>
          <w:sz w:val="24"/>
        </w:rPr>
        <w:t>异。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药代动力学</w:t>
      </w:r>
      <w:r w:rsidRPr="00085F54">
        <w:rPr>
          <w:rFonts w:ascii="宋体" w:hAnsi="宋体" w:hint="eastAsia"/>
          <w:sz w:val="24"/>
        </w:rPr>
        <w:t>】本品的药动学参数与盐酸利多卡因无显著性差异。本品为</w:t>
      </w:r>
      <w:r w:rsidRPr="00085F54">
        <w:rPr>
          <w:rFonts w:ascii="宋体" w:hAnsi="宋体"/>
          <w:sz w:val="24"/>
        </w:rPr>
        <w:t>CO</w:t>
      </w:r>
      <w:r w:rsidRPr="00085F54">
        <w:rPr>
          <w:rFonts w:ascii="宋体" w:hAnsi="宋体"/>
          <w:sz w:val="24"/>
          <w:vertAlign w:val="subscript"/>
        </w:rPr>
        <w:t>2</w:t>
      </w:r>
      <w:r w:rsidRPr="00085F54">
        <w:rPr>
          <w:rFonts w:ascii="宋体" w:hAnsi="宋体"/>
          <w:sz w:val="24"/>
        </w:rPr>
        <w:t>饱和条件下制成的</w:t>
      </w:r>
      <w:r w:rsidRPr="00085F54">
        <w:rPr>
          <w:rFonts w:ascii="宋体" w:hAnsi="宋体" w:hint="eastAsia"/>
          <w:sz w:val="24"/>
        </w:rPr>
        <w:t>注射液</w:t>
      </w:r>
      <w:r w:rsidRPr="00085F54">
        <w:rPr>
          <w:rFonts w:ascii="宋体" w:hAnsi="宋体"/>
          <w:sz w:val="24"/>
        </w:rPr>
        <w:t>，pH6.0～7.5，非离子成分较盐酸利多卡因高，其中的CO</w:t>
      </w:r>
      <w:r w:rsidRPr="00085F54">
        <w:rPr>
          <w:rFonts w:ascii="宋体" w:hAnsi="宋体"/>
          <w:sz w:val="24"/>
          <w:vertAlign w:val="subscript"/>
        </w:rPr>
        <w:t>2</w:t>
      </w:r>
      <w:r w:rsidRPr="00085F54">
        <w:rPr>
          <w:rFonts w:ascii="宋体" w:hAnsi="宋体"/>
          <w:sz w:val="24"/>
        </w:rPr>
        <w:t>可促进局麻药的弥散与捕获，</w:t>
      </w:r>
      <w:r w:rsidRPr="00085F54">
        <w:rPr>
          <w:rFonts w:ascii="宋体" w:hAnsi="宋体" w:hint="eastAsia"/>
          <w:sz w:val="24"/>
        </w:rPr>
        <w:t>使组织分布更快且广</w:t>
      </w:r>
      <w:r w:rsidRPr="00085F54">
        <w:rPr>
          <w:rFonts w:ascii="宋体" w:hAnsi="宋体"/>
          <w:sz w:val="24"/>
        </w:rPr>
        <w:t>，致神经组织效应增强，本品注射后通过组织吸收，15分钟内的血药浓</w:t>
      </w:r>
      <w:r w:rsidRPr="00085F54">
        <w:rPr>
          <w:rFonts w:ascii="宋体" w:hAnsi="宋体" w:hint="eastAsia"/>
          <w:sz w:val="24"/>
        </w:rPr>
        <w:t>度较盐酸利多卡因稍高，药物从局部消除约需</w:t>
      </w:r>
      <w:r w:rsidRPr="00085F54">
        <w:rPr>
          <w:rFonts w:ascii="宋体" w:hAnsi="宋体"/>
          <w:sz w:val="24"/>
        </w:rPr>
        <w:t>2小时，加肾上腺素约可延长至4小时</w:t>
      </w:r>
      <w:r w:rsidRPr="00085F54">
        <w:rPr>
          <w:rFonts w:ascii="宋体" w:hAnsi="宋体" w:hint="eastAsia"/>
          <w:sz w:val="24"/>
        </w:rPr>
        <w:t>。</w:t>
      </w:r>
      <w:r w:rsidRPr="00085F54">
        <w:rPr>
          <w:rFonts w:ascii="宋体" w:hAnsi="宋体"/>
          <w:sz w:val="24"/>
        </w:rPr>
        <w:t>大部分先经</w:t>
      </w:r>
      <w:r w:rsidRPr="00085F54">
        <w:rPr>
          <w:rFonts w:ascii="宋体" w:hAnsi="宋体" w:hint="eastAsia"/>
          <w:sz w:val="24"/>
        </w:rPr>
        <w:t>肝微粒酶降解为仍有局麻作用</w:t>
      </w:r>
      <w:proofErr w:type="gramStart"/>
      <w:r w:rsidRPr="00085F54">
        <w:rPr>
          <w:rFonts w:ascii="宋体" w:hAnsi="宋体" w:hint="eastAsia"/>
          <w:sz w:val="24"/>
        </w:rPr>
        <w:t>的脱乙基</w:t>
      </w:r>
      <w:proofErr w:type="gramEnd"/>
      <w:r w:rsidRPr="00085F54">
        <w:rPr>
          <w:rFonts w:ascii="宋体" w:hAnsi="宋体" w:hint="eastAsia"/>
          <w:sz w:val="24"/>
        </w:rPr>
        <w:t>中间代谢物</w:t>
      </w:r>
      <w:proofErr w:type="gramStart"/>
      <w:r w:rsidRPr="00085F54">
        <w:rPr>
          <w:rFonts w:ascii="宋体" w:hAnsi="宋体" w:hint="eastAsia"/>
          <w:sz w:val="24"/>
        </w:rPr>
        <w:t>单乙基甘氨</w:t>
      </w:r>
      <w:proofErr w:type="gramEnd"/>
      <w:r w:rsidRPr="00085F54">
        <w:rPr>
          <w:rFonts w:ascii="宋体" w:hAnsi="宋体" w:hint="eastAsia"/>
          <w:sz w:val="24"/>
        </w:rPr>
        <w:t>酰胺二甲苯</w:t>
      </w:r>
      <w:r w:rsidRPr="00085F54">
        <w:rPr>
          <w:rFonts w:ascii="宋体" w:hAnsi="宋体"/>
          <w:sz w:val="24"/>
        </w:rPr>
        <w:t>，毒性增高，再经酰胺酶</w:t>
      </w:r>
      <w:r w:rsidRPr="00085F54">
        <w:rPr>
          <w:rFonts w:ascii="宋体" w:hAnsi="宋体" w:hint="eastAsia"/>
          <w:sz w:val="24"/>
        </w:rPr>
        <w:t>水解</w:t>
      </w:r>
      <w:r w:rsidRPr="00085F54">
        <w:rPr>
          <w:rFonts w:ascii="宋体" w:hAnsi="宋体"/>
          <w:sz w:val="24"/>
        </w:rPr>
        <w:t>，经尿排出，少量出现在胆汁中。能透过血脑屏障和胎盘屏障。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贮藏</w:t>
      </w:r>
      <w:r w:rsidRPr="00085F54">
        <w:rPr>
          <w:rFonts w:ascii="宋体" w:hAnsi="宋体" w:hint="eastAsia"/>
          <w:sz w:val="24"/>
        </w:rPr>
        <w:t>】密闭</w:t>
      </w:r>
      <w:r w:rsidRPr="00085F54">
        <w:rPr>
          <w:rFonts w:ascii="宋体" w:hAnsi="宋体"/>
          <w:sz w:val="24"/>
        </w:rPr>
        <w:t>保存</w:t>
      </w:r>
      <w:r w:rsidRPr="00085F54">
        <w:rPr>
          <w:rFonts w:ascii="宋体" w:hAnsi="宋体" w:hint="eastAsia"/>
          <w:sz w:val="24"/>
        </w:rPr>
        <w:t>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/>
          <w:sz w:val="24"/>
        </w:rPr>
        <w:t>【</w:t>
      </w:r>
      <w:r w:rsidRPr="00085F54">
        <w:rPr>
          <w:rFonts w:ascii="宋体" w:hAnsi="宋体"/>
          <w:b/>
          <w:sz w:val="24"/>
        </w:rPr>
        <w:t>包装</w:t>
      </w:r>
      <w:r w:rsidRPr="00085F54">
        <w:rPr>
          <w:rFonts w:ascii="宋体" w:hAnsi="宋体"/>
          <w:sz w:val="24"/>
        </w:rPr>
        <w:t>】</w:t>
      </w:r>
      <w:proofErr w:type="gramStart"/>
      <w:r w:rsidRPr="00085F54">
        <w:rPr>
          <w:rFonts w:ascii="宋体" w:hAnsi="宋体" w:hint="eastAsia"/>
          <w:sz w:val="24"/>
        </w:rPr>
        <w:t>低硼硅玻璃</w:t>
      </w:r>
      <w:proofErr w:type="gramEnd"/>
      <w:r w:rsidRPr="00085F54">
        <w:rPr>
          <w:rFonts w:ascii="宋体" w:hAnsi="宋体" w:hint="eastAsia"/>
          <w:sz w:val="24"/>
        </w:rPr>
        <w:t>安瓿、纸盒，5支/盒</w:t>
      </w:r>
      <w:r w:rsidRPr="00085F54">
        <w:rPr>
          <w:rFonts w:ascii="宋体" w:hAnsi="宋体" w:hint="eastAsia"/>
        </w:rPr>
        <w:t>。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有效期</w:t>
      </w:r>
      <w:r w:rsidRPr="00085F54">
        <w:rPr>
          <w:rFonts w:ascii="宋体" w:hAnsi="宋体" w:hint="eastAsia"/>
          <w:sz w:val="24"/>
        </w:rPr>
        <w:t>】24个月。</w:t>
      </w:r>
    </w:p>
    <w:p w:rsidR="00AB71F3" w:rsidRPr="00466BF7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执行标准</w:t>
      </w:r>
      <w:r w:rsidRPr="00085F54">
        <w:rPr>
          <w:rFonts w:ascii="宋体" w:hAnsi="宋体" w:hint="eastAsia"/>
          <w:sz w:val="24"/>
        </w:rPr>
        <w:t>】</w:t>
      </w:r>
      <w:r w:rsidRPr="00466BF7">
        <w:rPr>
          <w:rFonts w:ascii="宋体" w:hAnsi="宋体" w:hint="eastAsia"/>
          <w:sz w:val="24"/>
        </w:rPr>
        <w:t>中国药典2020年版第一增补本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批准文号</w:t>
      </w:r>
      <w:r w:rsidRPr="00085F54">
        <w:rPr>
          <w:rFonts w:ascii="宋体" w:hAnsi="宋体" w:hint="eastAsia"/>
          <w:sz w:val="24"/>
        </w:rPr>
        <w:t>】国药准字H20053633</w:t>
      </w:r>
    </w:p>
    <w:p w:rsidR="00AB71F3" w:rsidRPr="00085F54" w:rsidRDefault="00AB71F3" w:rsidP="00AB71F3">
      <w:pPr>
        <w:outlineLvl w:val="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上市许可持有人</w:t>
      </w:r>
      <w:r w:rsidRPr="00085F54">
        <w:rPr>
          <w:rFonts w:ascii="宋体" w:hAnsi="宋体" w:hint="eastAsia"/>
          <w:sz w:val="24"/>
        </w:rPr>
        <w:t>】海南制药厂有限公司制药二厂</w:t>
      </w:r>
    </w:p>
    <w:p w:rsidR="00AB71F3" w:rsidRPr="00085F54" w:rsidRDefault="00AB71F3" w:rsidP="00AB71F3">
      <w:pPr>
        <w:outlineLvl w:val="0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地    址</w:t>
      </w:r>
      <w:r w:rsidRPr="00085F54">
        <w:rPr>
          <w:rFonts w:ascii="宋体" w:hAnsi="宋体" w:hint="eastAsia"/>
          <w:sz w:val="24"/>
        </w:rPr>
        <w:t>】林州市</w:t>
      </w:r>
      <w:proofErr w:type="gramStart"/>
      <w:r w:rsidRPr="00085F54">
        <w:rPr>
          <w:rFonts w:ascii="宋体" w:hAnsi="宋体" w:hint="eastAsia"/>
          <w:sz w:val="24"/>
        </w:rPr>
        <w:t>史家河</w:t>
      </w:r>
      <w:proofErr w:type="gramEnd"/>
      <w:r w:rsidRPr="00085F54">
        <w:rPr>
          <w:rFonts w:ascii="宋体" w:hAnsi="宋体" w:hint="eastAsia"/>
          <w:sz w:val="24"/>
        </w:rPr>
        <w:t>工业园区</w:t>
      </w:r>
    </w:p>
    <w:p w:rsidR="00AB71F3" w:rsidRPr="00085F54" w:rsidRDefault="00AB71F3" w:rsidP="00AB71F3">
      <w:pPr>
        <w:spacing w:line="360" w:lineRule="exact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【</w:t>
      </w:r>
      <w:r w:rsidRPr="00085F54">
        <w:rPr>
          <w:rFonts w:ascii="宋体" w:hAnsi="宋体" w:hint="eastAsia"/>
          <w:b/>
          <w:sz w:val="24"/>
        </w:rPr>
        <w:t>生产企业</w:t>
      </w:r>
      <w:r w:rsidRPr="00085F54">
        <w:rPr>
          <w:rFonts w:ascii="宋体" w:hAnsi="宋体" w:hint="eastAsia"/>
          <w:sz w:val="24"/>
        </w:rPr>
        <w:t>】</w:t>
      </w:r>
    </w:p>
    <w:p w:rsidR="00AB71F3" w:rsidRPr="00085F54" w:rsidRDefault="00AB71F3" w:rsidP="00AB71F3">
      <w:pPr>
        <w:spacing w:line="360" w:lineRule="exact"/>
        <w:ind w:firstLineChars="250" w:firstLine="600"/>
        <w:rPr>
          <w:rFonts w:ascii="宋体" w:hAnsi="宋体"/>
          <w:sz w:val="24"/>
        </w:rPr>
      </w:pPr>
      <w:r w:rsidRPr="00085F54">
        <w:rPr>
          <w:rFonts w:ascii="宋体" w:hAnsi="宋体"/>
          <w:sz w:val="24"/>
        </w:rPr>
        <w:t>企业名称：</w:t>
      </w:r>
      <w:r w:rsidRPr="00085F54">
        <w:rPr>
          <w:rFonts w:ascii="宋体" w:hAnsi="宋体" w:hint="eastAsia"/>
          <w:sz w:val="24"/>
        </w:rPr>
        <w:t>海南制药厂有限公司制药二厂</w:t>
      </w:r>
    </w:p>
    <w:p w:rsidR="00AB71F3" w:rsidRPr="00085F54" w:rsidRDefault="00AB71F3" w:rsidP="00AB71F3">
      <w:pPr>
        <w:spacing w:line="360" w:lineRule="exact"/>
        <w:ind w:firstLineChars="261" w:firstLine="626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生产</w:t>
      </w:r>
      <w:r w:rsidRPr="00085F54">
        <w:rPr>
          <w:rFonts w:ascii="宋体" w:hAnsi="宋体"/>
          <w:sz w:val="24"/>
        </w:rPr>
        <w:t>地址：</w:t>
      </w:r>
      <w:r w:rsidRPr="00085F54">
        <w:rPr>
          <w:rFonts w:ascii="宋体" w:hAnsi="宋体" w:hint="eastAsia"/>
          <w:sz w:val="24"/>
        </w:rPr>
        <w:t>林州市</w:t>
      </w:r>
      <w:proofErr w:type="gramStart"/>
      <w:r w:rsidRPr="00085F54">
        <w:rPr>
          <w:rFonts w:ascii="宋体" w:hAnsi="宋体" w:hint="eastAsia"/>
          <w:sz w:val="24"/>
        </w:rPr>
        <w:t>史家河</w:t>
      </w:r>
      <w:proofErr w:type="gramEnd"/>
      <w:r w:rsidRPr="00085F54">
        <w:rPr>
          <w:rFonts w:ascii="宋体" w:hAnsi="宋体" w:hint="eastAsia"/>
          <w:sz w:val="24"/>
        </w:rPr>
        <w:t>工业园区</w:t>
      </w:r>
    </w:p>
    <w:p w:rsidR="00AB71F3" w:rsidRPr="00085F54" w:rsidRDefault="00AB71F3" w:rsidP="00AB71F3">
      <w:pPr>
        <w:spacing w:line="360" w:lineRule="exact"/>
        <w:ind w:firstLineChars="261" w:firstLine="626"/>
        <w:rPr>
          <w:rFonts w:ascii="宋体" w:hAnsi="宋体"/>
          <w:sz w:val="24"/>
        </w:rPr>
      </w:pPr>
      <w:r w:rsidRPr="00085F54">
        <w:rPr>
          <w:rFonts w:ascii="宋体" w:hAnsi="宋体" w:hint="eastAsia"/>
          <w:sz w:val="24"/>
        </w:rPr>
        <w:t>邮政编码：456592</w:t>
      </w:r>
    </w:p>
    <w:p w:rsidR="00AB71F3" w:rsidRPr="00085F54" w:rsidRDefault="00AB71F3" w:rsidP="00AB71F3">
      <w:pPr>
        <w:spacing w:line="360" w:lineRule="exact"/>
        <w:ind w:firstLineChars="261" w:firstLine="626"/>
        <w:rPr>
          <w:rFonts w:ascii="宋体" w:hAnsi="宋体"/>
          <w:sz w:val="24"/>
        </w:rPr>
      </w:pPr>
      <w:r w:rsidRPr="00085F54">
        <w:rPr>
          <w:rFonts w:ascii="宋体" w:hAnsi="宋体"/>
          <w:sz w:val="24"/>
        </w:rPr>
        <w:t>电话</w:t>
      </w:r>
      <w:r w:rsidRPr="00085F54">
        <w:rPr>
          <w:rFonts w:ascii="宋体" w:hAnsi="宋体" w:hint="eastAsia"/>
          <w:sz w:val="24"/>
        </w:rPr>
        <w:t>号码</w:t>
      </w:r>
      <w:r w:rsidRPr="00085F54">
        <w:rPr>
          <w:rFonts w:ascii="宋体" w:hAnsi="宋体"/>
          <w:sz w:val="24"/>
        </w:rPr>
        <w:t>：0372-</w:t>
      </w:r>
      <w:r w:rsidRPr="00085F54">
        <w:rPr>
          <w:rFonts w:ascii="宋体" w:hAnsi="宋体" w:hint="eastAsia"/>
          <w:sz w:val="24"/>
        </w:rPr>
        <w:t>6515111</w:t>
      </w:r>
    </w:p>
    <w:p w:rsidR="00AB71F3" w:rsidRPr="00085F54" w:rsidRDefault="00AB71F3" w:rsidP="00AB71F3">
      <w:pPr>
        <w:spacing w:line="360" w:lineRule="exact"/>
        <w:ind w:firstLineChars="261" w:firstLine="626"/>
        <w:rPr>
          <w:rFonts w:ascii="宋体" w:hAnsi="宋体"/>
          <w:sz w:val="24"/>
        </w:rPr>
      </w:pPr>
      <w:r w:rsidRPr="00085F54">
        <w:rPr>
          <w:rFonts w:ascii="宋体" w:hAnsi="宋体"/>
          <w:sz w:val="24"/>
        </w:rPr>
        <w:t>传真</w:t>
      </w:r>
      <w:r w:rsidRPr="00085F54">
        <w:rPr>
          <w:rFonts w:ascii="宋体" w:hAnsi="宋体" w:hint="eastAsia"/>
          <w:sz w:val="24"/>
        </w:rPr>
        <w:t>号码</w:t>
      </w:r>
      <w:r w:rsidRPr="00085F54">
        <w:rPr>
          <w:rFonts w:ascii="宋体" w:hAnsi="宋体"/>
          <w:sz w:val="24"/>
        </w:rPr>
        <w:t>：0372-</w:t>
      </w:r>
      <w:r w:rsidRPr="00085F54">
        <w:rPr>
          <w:rFonts w:ascii="宋体" w:hAnsi="宋体" w:hint="eastAsia"/>
          <w:sz w:val="24"/>
        </w:rPr>
        <w:t>6515111</w:t>
      </w:r>
    </w:p>
    <w:p w:rsidR="000844A8" w:rsidRDefault="000844A8"/>
    <w:sectPr w:rsidR="0008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F3"/>
    <w:rsid w:val="000844A8"/>
    <w:rsid w:val="00AB71F3"/>
    <w:rsid w:val="00AE366D"/>
    <w:rsid w:val="00C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Indent"/>
    <w:basedOn w:val="a"/>
    <w:rsid w:val="00AB71F3"/>
    <w:pPr>
      <w:ind w:firstLine="420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1F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Normal Indent"/>
    <w:basedOn w:val="a"/>
    <w:rsid w:val="00AB71F3"/>
    <w:pPr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1959</Characters>
  <Application>Microsoft Office Word</Application>
  <DocSecurity>0</DocSecurity>
  <Lines>16</Lines>
  <Paragraphs>4</Paragraphs>
  <ScaleCrop>false</ScaleCrop>
  <Company>2012dnd.com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2025-01-13T03:08:00Z</cp:lastPrinted>
  <dcterms:created xsi:type="dcterms:W3CDTF">2024-08-10T07:32:00Z</dcterms:created>
  <dcterms:modified xsi:type="dcterms:W3CDTF">2025-01-13T03:08:00Z</dcterms:modified>
</cp:coreProperties>
</file>