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35" w:rsidRPr="009E0E3D" w:rsidRDefault="00E06035" w:rsidP="00E06035"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39764B80" wp14:editId="0A3B46F8">
            <wp:simplePos x="0" y="0"/>
            <wp:positionH relativeFrom="column">
              <wp:posOffset>4885690</wp:posOffset>
            </wp:positionH>
            <wp:positionV relativeFrom="paragraph">
              <wp:posOffset>-8255</wp:posOffset>
            </wp:positionV>
            <wp:extent cx="313055" cy="368300"/>
            <wp:effectExtent l="0" t="0" r="0" b="0"/>
            <wp:wrapNone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0E3D">
        <w:rPr>
          <w:rFonts w:ascii="宋体" w:hAnsi="宋体"/>
          <w:szCs w:val="21"/>
        </w:rPr>
        <w:t>核准日期：</w:t>
      </w:r>
      <w:r w:rsidRPr="009E0E3D">
        <w:rPr>
          <w:rFonts w:ascii="宋体" w:hAnsi="宋体" w:hint="eastAsia"/>
          <w:szCs w:val="21"/>
        </w:rPr>
        <w:t>2007年07月18日</w:t>
      </w:r>
      <w:r w:rsidR="00357F72">
        <w:rPr>
          <w:rFonts w:ascii="宋体" w:hAnsi="宋体" w:hint="eastAsia"/>
          <w:szCs w:val="21"/>
        </w:rPr>
        <w:t xml:space="preserve">   </w:t>
      </w:r>
      <w:r w:rsidR="00357F72" w:rsidRPr="009E0E3D">
        <w:rPr>
          <w:rFonts w:ascii="宋体" w:hAnsi="宋体" w:hint="eastAsia"/>
          <w:szCs w:val="21"/>
        </w:rPr>
        <w:t>修订日期：2018年12月15日</w:t>
      </w:r>
    </w:p>
    <w:p w:rsidR="00357F72" w:rsidRPr="009E0E3D" w:rsidRDefault="00E06035" w:rsidP="00357F72">
      <w:pPr>
        <w:spacing w:line="0" w:lineRule="atLeast"/>
        <w:rPr>
          <w:rFonts w:ascii="宋体" w:hAnsi="宋体"/>
          <w:szCs w:val="21"/>
        </w:rPr>
      </w:pPr>
      <w:r w:rsidRPr="009E0E3D">
        <w:rPr>
          <w:rFonts w:ascii="宋体" w:hAnsi="宋体" w:hint="eastAsia"/>
          <w:szCs w:val="21"/>
        </w:rPr>
        <w:t>修订日期：2008年12月11日</w:t>
      </w:r>
      <w:r w:rsidR="00357F72">
        <w:rPr>
          <w:rFonts w:ascii="宋体" w:hAnsi="宋体" w:hint="eastAsia"/>
          <w:szCs w:val="21"/>
        </w:rPr>
        <w:t xml:space="preserve">   </w:t>
      </w:r>
      <w:r w:rsidR="00357F72" w:rsidRPr="009E0E3D">
        <w:rPr>
          <w:rFonts w:ascii="宋体" w:hAnsi="宋体" w:hint="eastAsia"/>
          <w:szCs w:val="21"/>
        </w:rPr>
        <w:t>修订日期：2019年12月01日</w:t>
      </w:r>
    </w:p>
    <w:p w:rsidR="00E06035" w:rsidRPr="009E0E3D" w:rsidRDefault="00E06035" w:rsidP="00E06035">
      <w:pPr>
        <w:spacing w:line="0" w:lineRule="atLeast"/>
        <w:rPr>
          <w:rFonts w:ascii="宋体" w:hAnsi="宋体"/>
          <w:szCs w:val="21"/>
        </w:rPr>
      </w:pPr>
      <w:r w:rsidRPr="009E0E3D">
        <w:rPr>
          <w:rFonts w:ascii="宋体" w:hAnsi="宋体" w:hint="eastAsia"/>
          <w:szCs w:val="21"/>
        </w:rPr>
        <w:t>修订日期：2017年01月04日</w:t>
      </w:r>
      <w:r w:rsidR="00357F72">
        <w:rPr>
          <w:rFonts w:ascii="宋体" w:hAnsi="宋体" w:hint="eastAsia"/>
          <w:szCs w:val="21"/>
        </w:rPr>
        <w:t xml:space="preserve">   </w:t>
      </w:r>
      <w:r w:rsidR="00357F72" w:rsidRPr="009E0E3D">
        <w:rPr>
          <w:rFonts w:ascii="宋体" w:hAnsi="宋体" w:hint="eastAsia"/>
          <w:szCs w:val="21"/>
        </w:rPr>
        <w:t>修订日期：2023年10月25日</w:t>
      </w:r>
    </w:p>
    <w:p w:rsidR="00E06035" w:rsidRPr="009E0E3D" w:rsidRDefault="00E06035" w:rsidP="00357F72">
      <w:pPr>
        <w:spacing w:line="0" w:lineRule="atLeast"/>
        <w:rPr>
          <w:sz w:val="24"/>
        </w:rPr>
      </w:pPr>
      <w:r w:rsidRPr="009E0E3D">
        <w:rPr>
          <w:rFonts w:ascii="宋体" w:hAnsi="宋体" w:hint="eastAsia"/>
          <w:szCs w:val="21"/>
        </w:rPr>
        <w:t>修订日期：2018年03月11日</w:t>
      </w:r>
      <w:r w:rsidRPr="009E0E3D">
        <w:rPr>
          <w:rFonts w:hint="eastAsia"/>
          <w:sz w:val="24"/>
        </w:rPr>
        <w:t xml:space="preserve"> </w:t>
      </w:r>
    </w:p>
    <w:p w:rsidR="00E06035" w:rsidRPr="00357F72" w:rsidRDefault="00E06035" w:rsidP="00E06035">
      <w:pPr>
        <w:spacing w:line="36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 w:rsidRPr="00357F72">
        <w:rPr>
          <w:rFonts w:ascii="宋体" w:hAnsi="宋体" w:hint="eastAsia"/>
          <w:b/>
          <w:sz w:val="36"/>
          <w:szCs w:val="36"/>
        </w:rPr>
        <w:t>门冬氨酸钾镁</w:t>
      </w:r>
      <w:r w:rsidRPr="00357F72">
        <w:rPr>
          <w:rFonts w:ascii="宋体" w:hAnsi="宋体"/>
          <w:b/>
          <w:sz w:val="36"/>
          <w:szCs w:val="36"/>
        </w:rPr>
        <w:t>注射液说明书</w:t>
      </w:r>
    </w:p>
    <w:p w:rsidR="00E06035" w:rsidRPr="009E0E3D" w:rsidRDefault="00E06035" w:rsidP="00E06035">
      <w:pPr>
        <w:spacing w:line="360" w:lineRule="exact"/>
        <w:jc w:val="center"/>
        <w:rPr>
          <w:rFonts w:ascii="宋体" w:hAnsi="宋体"/>
          <w:b/>
          <w:sz w:val="24"/>
        </w:rPr>
      </w:pPr>
      <w:r w:rsidRPr="009E0E3D">
        <w:rPr>
          <w:rFonts w:ascii="宋体" w:hAnsi="宋体"/>
          <w:b/>
          <w:sz w:val="24"/>
        </w:rPr>
        <w:t>请仔细阅读说明书并在医师指导下使用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【药品名称】</w:t>
      </w:r>
    </w:p>
    <w:p w:rsidR="00E06035" w:rsidRPr="009E0E3D" w:rsidRDefault="00E06035" w:rsidP="00E06035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通用名称：门冬氨酸钾镁注射液</w:t>
      </w:r>
    </w:p>
    <w:p w:rsidR="00E06035" w:rsidRPr="009E0E3D" w:rsidRDefault="00E06035" w:rsidP="00E06035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英文名称：</w:t>
      </w:r>
      <w:r w:rsidRPr="009E0E3D">
        <w:rPr>
          <w:rFonts w:ascii="宋体" w:hAnsi="宋体"/>
          <w:sz w:val="24"/>
        </w:rPr>
        <w:t>Potassium Aspartate and Magnesium Aspartate Injection</w:t>
      </w:r>
    </w:p>
    <w:p w:rsidR="00E06035" w:rsidRPr="009E0E3D" w:rsidRDefault="00E06035" w:rsidP="00E06035">
      <w:pPr>
        <w:spacing w:line="360" w:lineRule="exact"/>
        <w:ind w:firstLineChars="100" w:firstLine="24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汉语拼音：</w:t>
      </w:r>
      <w:proofErr w:type="spellStart"/>
      <w:r w:rsidRPr="009E0E3D">
        <w:rPr>
          <w:rFonts w:ascii="宋体" w:hAnsi="宋体"/>
          <w:sz w:val="24"/>
        </w:rPr>
        <w:t>Mendong'ansuanjiamei</w:t>
      </w:r>
      <w:proofErr w:type="spellEnd"/>
      <w:r w:rsidRPr="009E0E3D">
        <w:rPr>
          <w:rFonts w:ascii="宋体" w:hAnsi="宋体"/>
          <w:sz w:val="24"/>
        </w:rPr>
        <w:t xml:space="preserve"> </w:t>
      </w:r>
      <w:proofErr w:type="spellStart"/>
      <w:r w:rsidRPr="009E0E3D">
        <w:rPr>
          <w:rFonts w:ascii="宋体" w:hAnsi="宋体"/>
          <w:sz w:val="24"/>
        </w:rPr>
        <w:t>Zhusheye</w:t>
      </w:r>
      <w:proofErr w:type="spellEnd"/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【成份】本品为复方制剂，其组份为：每支</w:t>
      </w:r>
      <w:r w:rsidRPr="009E0E3D">
        <w:rPr>
          <w:rFonts w:ascii="宋体" w:hAnsi="宋体"/>
          <w:sz w:val="24"/>
        </w:rPr>
        <w:t>含门冬氨酸</w:t>
      </w:r>
      <w:r w:rsidRPr="009E0E3D">
        <w:rPr>
          <w:rFonts w:ascii="宋体" w:hAnsi="宋体" w:hint="eastAsia"/>
          <w:sz w:val="24"/>
        </w:rPr>
        <w:t>（C</w:t>
      </w:r>
      <w:r w:rsidRPr="009E0E3D">
        <w:rPr>
          <w:rFonts w:ascii="宋体" w:hAnsi="宋体" w:hint="eastAsia"/>
          <w:sz w:val="24"/>
          <w:vertAlign w:val="subscript"/>
        </w:rPr>
        <w:t>4</w:t>
      </w:r>
      <w:r w:rsidRPr="009E0E3D">
        <w:rPr>
          <w:rFonts w:ascii="宋体" w:hAnsi="宋体" w:hint="eastAsia"/>
          <w:sz w:val="24"/>
        </w:rPr>
        <w:t>H</w:t>
      </w:r>
      <w:r w:rsidRPr="009E0E3D">
        <w:rPr>
          <w:rFonts w:ascii="宋体" w:hAnsi="宋体" w:hint="eastAsia"/>
          <w:sz w:val="24"/>
          <w:vertAlign w:val="subscript"/>
        </w:rPr>
        <w:t>7</w:t>
      </w:r>
      <w:r w:rsidRPr="009E0E3D">
        <w:rPr>
          <w:rFonts w:ascii="宋体" w:hAnsi="宋体" w:hint="eastAsia"/>
          <w:sz w:val="24"/>
        </w:rPr>
        <w:t>NO</w:t>
      </w:r>
      <w:r w:rsidRPr="009E0E3D">
        <w:rPr>
          <w:rFonts w:ascii="宋体" w:hAnsi="宋体" w:hint="eastAsia"/>
          <w:sz w:val="24"/>
          <w:vertAlign w:val="subscript"/>
        </w:rPr>
        <w:t>4</w:t>
      </w:r>
      <w:r w:rsidRPr="009E0E3D">
        <w:rPr>
          <w:rFonts w:ascii="宋体" w:hAnsi="宋体" w:hint="eastAsia"/>
          <w:sz w:val="24"/>
        </w:rPr>
        <w:t>）</w:t>
      </w:r>
      <w:r w:rsidRPr="009E0E3D">
        <w:rPr>
          <w:rFonts w:ascii="宋体" w:hAnsi="宋体"/>
          <w:sz w:val="24"/>
        </w:rPr>
        <w:t>应为</w:t>
      </w:r>
      <w:r w:rsidRPr="009E0E3D">
        <w:rPr>
          <w:rFonts w:ascii="宋体" w:hAnsi="宋体" w:hint="eastAsia"/>
          <w:sz w:val="24"/>
        </w:rPr>
        <w:t>850</w:t>
      </w:r>
      <w:r w:rsidRPr="009E0E3D">
        <w:rPr>
          <w:rFonts w:ascii="宋体" w:hAnsi="宋体"/>
          <w:sz w:val="24"/>
        </w:rPr>
        <w:t>mg、</w:t>
      </w:r>
      <w:r w:rsidRPr="009E0E3D">
        <w:rPr>
          <w:rFonts w:ascii="宋体" w:hAnsi="宋体" w:hint="eastAsia"/>
          <w:sz w:val="24"/>
        </w:rPr>
        <w:t>含</w:t>
      </w:r>
      <w:r w:rsidRPr="009E0E3D">
        <w:rPr>
          <w:rFonts w:ascii="宋体" w:hAnsi="宋体"/>
          <w:sz w:val="24"/>
        </w:rPr>
        <w:t>钾</w:t>
      </w:r>
      <w:r w:rsidRPr="009E0E3D">
        <w:rPr>
          <w:rFonts w:ascii="宋体" w:hAnsi="宋体" w:hint="eastAsia"/>
          <w:sz w:val="24"/>
        </w:rPr>
        <w:t>（K）</w:t>
      </w:r>
      <w:r w:rsidRPr="009E0E3D">
        <w:rPr>
          <w:rFonts w:ascii="宋体" w:hAnsi="宋体"/>
          <w:sz w:val="24"/>
        </w:rPr>
        <w:t>11</w:t>
      </w:r>
      <w:r w:rsidRPr="009E0E3D">
        <w:rPr>
          <w:rFonts w:ascii="宋体" w:hAnsi="宋体" w:hint="eastAsia"/>
          <w:sz w:val="24"/>
        </w:rPr>
        <w:t>4</w:t>
      </w:r>
      <w:r w:rsidRPr="009E0E3D">
        <w:rPr>
          <w:rFonts w:ascii="宋体" w:hAnsi="宋体"/>
          <w:sz w:val="24"/>
        </w:rPr>
        <w:t>mg、</w:t>
      </w:r>
      <w:r w:rsidRPr="009E0E3D">
        <w:rPr>
          <w:rFonts w:ascii="宋体" w:hAnsi="宋体" w:hint="eastAsia"/>
          <w:sz w:val="24"/>
        </w:rPr>
        <w:t>含</w:t>
      </w:r>
      <w:r w:rsidRPr="009E0E3D">
        <w:rPr>
          <w:rFonts w:ascii="宋体" w:hAnsi="宋体"/>
          <w:sz w:val="24"/>
        </w:rPr>
        <w:t>镁</w:t>
      </w:r>
      <w:r w:rsidRPr="009E0E3D">
        <w:rPr>
          <w:rFonts w:ascii="宋体" w:hAnsi="宋体" w:hint="eastAsia"/>
          <w:sz w:val="24"/>
        </w:rPr>
        <w:t>(M</w:t>
      </w:r>
      <w:r w:rsidRPr="009E0E3D">
        <w:rPr>
          <w:rFonts w:ascii="宋体" w:hAnsi="宋体"/>
          <w:sz w:val="24"/>
        </w:rPr>
        <w:t>g</w:t>
      </w:r>
      <w:r w:rsidRPr="009E0E3D">
        <w:rPr>
          <w:rFonts w:ascii="宋体" w:hAnsi="宋体" w:hint="eastAsia"/>
          <w:sz w:val="24"/>
        </w:rPr>
        <w:t>)</w:t>
      </w:r>
      <w:r w:rsidRPr="009E0E3D">
        <w:rPr>
          <w:rFonts w:ascii="宋体" w:hAnsi="宋体"/>
          <w:sz w:val="24"/>
        </w:rPr>
        <w:t>42mg。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辅料为：注射用水。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【性状】本品为无色的澄明液体。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【适应症】电解质补充药。可用于低钾血症，洋地黄中毒引起的心律失常（主要是室性心律失常）以及心肌炎后遗症、充血性心力衰竭、心肌梗塞的辅助治疗。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【规格】10ml:L-门冬氨酸850mg、钾114mg、镁42mg。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【用法用量】静脉滴注</w:t>
      </w:r>
      <w:r w:rsidRPr="009E0E3D">
        <w:rPr>
          <w:rFonts w:ascii="宋体" w:hAnsi="宋体"/>
          <w:sz w:val="24"/>
        </w:rPr>
        <w:t xml:space="preserve"> </w:t>
      </w:r>
      <w:r w:rsidRPr="009E0E3D">
        <w:rPr>
          <w:rFonts w:ascii="宋体" w:hAnsi="宋体" w:hint="eastAsia"/>
          <w:sz w:val="24"/>
        </w:rPr>
        <w:t>一次</w:t>
      </w:r>
      <w:r w:rsidRPr="009E0E3D">
        <w:rPr>
          <w:rFonts w:ascii="宋体" w:hAnsi="宋体"/>
          <w:sz w:val="24"/>
        </w:rPr>
        <w:t>10～20ml，加入5%或葡萄糖注射液</w:t>
      </w:r>
      <w:r w:rsidRPr="009E0E3D">
        <w:rPr>
          <w:rFonts w:ascii="宋体" w:hAnsi="宋体" w:hint="eastAsia"/>
          <w:sz w:val="24"/>
        </w:rPr>
        <w:t>2</w:t>
      </w:r>
      <w:r w:rsidRPr="009E0E3D">
        <w:rPr>
          <w:rFonts w:ascii="宋体" w:hAnsi="宋体"/>
          <w:sz w:val="24"/>
        </w:rPr>
        <w:t>50ml</w:t>
      </w:r>
      <w:r w:rsidRPr="009E0E3D">
        <w:rPr>
          <w:rFonts w:ascii="宋体" w:hAnsi="宋体" w:hint="eastAsia"/>
          <w:sz w:val="24"/>
        </w:rPr>
        <w:t>或</w:t>
      </w:r>
      <w:r w:rsidRPr="009E0E3D">
        <w:rPr>
          <w:rFonts w:ascii="宋体" w:hAnsi="宋体"/>
          <w:sz w:val="24"/>
        </w:rPr>
        <w:t>500ml</w:t>
      </w:r>
      <w:r w:rsidRPr="009E0E3D">
        <w:rPr>
          <w:rFonts w:ascii="宋体" w:hAnsi="宋体" w:hint="eastAsia"/>
          <w:sz w:val="24"/>
        </w:rPr>
        <w:t>中缓慢滴注，每日</w:t>
      </w:r>
      <w:r w:rsidRPr="009E0E3D">
        <w:rPr>
          <w:rFonts w:ascii="宋体" w:hAnsi="宋体"/>
          <w:sz w:val="24"/>
        </w:rPr>
        <w:t>1次。</w:t>
      </w:r>
      <w:r w:rsidRPr="009E0E3D">
        <w:rPr>
          <w:rFonts w:ascii="宋体" w:hAnsi="宋体" w:hint="eastAsia"/>
          <w:sz w:val="24"/>
        </w:rPr>
        <w:t>或</w:t>
      </w:r>
      <w:proofErr w:type="gramStart"/>
      <w:r w:rsidRPr="009E0E3D">
        <w:rPr>
          <w:rFonts w:ascii="宋体" w:hAnsi="宋体" w:hint="eastAsia"/>
          <w:sz w:val="24"/>
        </w:rPr>
        <w:t>遵</w:t>
      </w:r>
      <w:proofErr w:type="gramEnd"/>
      <w:r w:rsidRPr="009E0E3D">
        <w:rPr>
          <w:rFonts w:ascii="宋体" w:hAnsi="宋体" w:hint="eastAsia"/>
          <w:sz w:val="24"/>
        </w:rPr>
        <w:t>医嘱。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【不良反应】（</w:t>
      </w:r>
      <w:r w:rsidRPr="009E0E3D">
        <w:rPr>
          <w:rFonts w:ascii="宋体" w:hAnsi="宋体"/>
          <w:sz w:val="24"/>
        </w:rPr>
        <w:t>1）滴注</w:t>
      </w:r>
      <w:r w:rsidRPr="009E0E3D">
        <w:rPr>
          <w:rFonts w:ascii="宋体" w:hAnsi="宋体" w:hint="eastAsia"/>
          <w:sz w:val="24"/>
        </w:rPr>
        <w:t>速度</w:t>
      </w:r>
      <w:r w:rsidRPr="009E0E3D">
        <w:rPr>
          <w:rFonts w:ascii="宋体" w:hAnsi="宋体"/>
          <w:sz w:val="24"/>
        </w:rPr>
        <w:t>太快时可</w:t>
      </w:r>
      <w:r w:rsidRPr="009E0E3D">
        <w:rPr>
          <w:rFonts w:ascii="宋体" w:hAnsi="宋体" w:hint="eastAsia"/>
          <w:sz w:val="24"/>
        </w:rPr>
        <w:t>引起高钾血症和高镁血症，还可出现</w:t>
      </w:r>
      <w:r w:rsidRPr="009E0E3D">
        <w:rPr>
          <w:rFonts w:ascii="宋体" w:hAnsi="宋体"/>
          <w:sz w:val="24"/>
        </w:rPr>
        <w:t>恶心、呕吐、</w:t>
      </w:r>
      <w:r w:rsidRPr="009E0E3D">
        <w:rPr>
          <w:rFonts w:ascii="宋体" w:hAnsi="宋体" w:hint="eastAsia"/>
          <w:sz w:val="24"/>
        </w:rPr>
        <w:t>颜</w:t>
      </w:r>
      <w:r w:rsidRPr="009E0E3D">
        <w:rPr>
          <w:rFonts w:ascii="宋体" w:hAnsi="宋体"/>
          <w:sz w:val="24"/>
        </w:rPr>
        <w:t>面潮红、</w:t>
      </w:r>
      <w:r w:rsidRPr="009E0E3D">
        <w:rPr>
          <w:rFonts w:ascii="宋体" w:hAnsi="宋体" w:hint="eastAsia"/>
          <w:sz w:val="24"/>
        </w:rPr>
        <w:t>胸闷、血压下降，偶见血管刺激性疼痛。极少数可出现心律减</w:t>
      </w:r>
    </w:p>
    <w:p w:rsidR="00E06035" w:rsidRPr="009E0E3D" w:rsidRDefault="00E06035" w:rsidP="00E06035">
      <w:pPr>
        <w:spacing w:line="360" w:lineRule="exact"/>
        <w:rPr>
          <w:rFonts w:ascii="ˎ̥" w:hAnsi="ˎ̥" w:cs="Arial"/>
          <w:kern w:val="0"/>
          <w:sz w:val="24"/>
        </w:rPr>
      </w:pPr>
      <w:r w:rsidRPr="009E0E3D">
        <w:rPr>
          <w:rFonts w:ascii="宋体" w:hAnsi="宋体" w:hint="eastAsia"/>
          <w:sz w:val="24"/>
        </w:rPr>
        <w:t>慢，减慢滴速或停药后即可恢复。（</w:t>
      </w:r>
      <w:r w:rsidRPr="009E0E3D">
        <w:rPr>
          <w:rFonts w:ascii="宋体" w:hAnsi="宋体"/>
          <w:sz w:val="24"/>
        </w:rPr>
        <w:t>2）</w:t>
      </w:r>
      <w:r w:rsidRPr="009E0E3D">
        <w:rPr>
          <w:rFonts w:ascii="宋体" w:hAnsi="宋体" w:hint="eastAsia"/>
          <w:sz w:val="24"/>
        </w:rPr>
        <w:t>大剂量可能引起腹泻</w:t>
      </w:r>
      <w:r w:rsidRPr="009E0E3D">
        <w:rPr>
          <w:rFonts w:ascii="宋体" w:hAnsi="宋体"/>
          <w:sz w:val="24"/>
        </w:rPr>
        <w:t>。</w:t>
      </w:r>
      <w:r w:rsidRPr="009E0E3D">
        <w:rPr>
          <w:rFonts w:ascii="宋体" w:hAnsi="宋体" w:hint="eastAsia"/>
          <w:sz w:val="24"/>
        </w:rPr>
        <w:t>（3）</w:t>
      </w:r>
      <w:r w:rsidRPr="009E0E3D">
        <w:rPr>
          <w:rFonts w:ascii="ˎ̥" w:hAnsi="ˎ̥" w:cs="Arial"/>
          <w:kern w:val="0"/>
          <w:sz w:val="24"/>
        </w:rPr>
        <w:t>门冬氨酸钾镁注射剂</w:t>
      </w:r>
      <w:r w:rsidRPr="009E0E3D">
        <w:rPr>
          <w:rFonts w:ascii="ˎ̥" w:hAnsi="ˎ̥" w:cs="Arial" w:hint="eastAsia"/>
          <w:kern w:val="0"/>
          <w:sz w:val="24"/>
        </w:rPr>
        <w:t>易发生</w:t>
      </w:r>
      <w:r w:rsidRPr="009E0E3D">
        <w:rPr>
          <w:rFonts w:ascii="ˎ̥" w:hAnsi="ˎ̥" w:cs="Arial"/>
          <w:kern w:val="0"/>
          <w:sz w:val="24"/>
        </w:rPr>
        <w:t>过敏反应</w:t>
      </w:r>
      <w:r w:rsidRPr="009E0E3D">
        <w:rPr>
          <w:rFonts w:ascii="ˎ̥" w:hAnsi="ˎ̥" w:cs="Arial" w:hint="eastAsia"/>
          <w:kern w:val="0"/>
          <w:sz w:val="24"/>
        </w:rPr>
        <w:t>，</w:t>
      </w:r>
      <w:r w:rsidRPr="009E0E3D">
        <w:rPr>
          <w:rFonts w:ascii="ˎ̥" w:hAnsi="ˎ̥" w:cs="Arial"/>
          <w:kern w:val="0"/>
          <w:sz w:val="24"/>
        </w:rPr>
        <w:t>严重病例的不良反应</w:t>
      </w:r>
      <w:r w:rsidRPr="009E0E3D">
        <w:rPr>
          <w:rFonts w:ascii="ˎ̥" w:hAnsi="ˎ̥" w:cs="Arial"/>
          <w:kern w:val="0"/>
          <w:sz w:val="24"/>
        </w:rPr>
        <w:t>/</w:t>
      </w:r>
      <w:r w:rsidRPr="009E0E3D">
        <w:rPr>
          <w:rFonts w:ascii="ˎ̥" w:hAnsi="ˎ̥" w:cs="Arial"/>
          <w:kern w:val="0"/>
          <w:sz w:val="24"/>
        </w:rPr>
        <w:t>事件表现如下：全身性</w:t>
      </w:r>
      <w:proofErr w:type="gramStart"/>
      <w:r w:rsidRPr="009E0E3D">
        <w:rPr>
          <w:rFonts w:ascii="ˎ̥" w:hAnsi="ˎ̥" w:cs="Arial"/>
          <w:kern w:val="0"/>
          <w:sz w:val="24"/>
        </w:rPr>
        <w:t>损害占</w:t>
      </w:r>
      <w:proofErr w:type="gramEnd"/>
      <w:r w:rsidRPr="009E0E3D">
        <w:rPr>
          <w:rFonts w:ascii="ˎ̥" w:hAnsi="ˎ̥" w:cs="Arial"/>
          <w:kern w:val="0"/>
          <w:sz w:val="24"/>
        </w:rPr>
        <w:t>62.5%</w:t>
      </w:r>
      <w:r w:rsidRPr="009E0E3D">
        <w:rPr>
          <w:rFonts w:ascii="ˎ̥" w:hAnsi="ˎ̥" w:cs="Arial"/>
          <w:kern w:val="0"/>
          <w:sz w:val="24"/>
        </w:rPr>
        <w:t>，主要表现为过敏性休克、寒战、过敏样反应、发热等；呼吸系统</w:t>
      </w:r>
      <w:proofErr w:type="gramStart"/>
      <w:r w:rsidRPr="009E0E3D">
        <w:rPr>
          <w:rFonts w:ascii="ˎ̥" w:hAnsi="ˎ̥" w:cs="Arial"/>
          <w:kern w:val="0"/>
          <w:sz w:val="24"/>
        </w:rPr>
        <w:t>损害占</w:t>
      </w:r>
      <w:proofErr w:type="gramEnd"/>
      <w:r w:rsidRPr="009E0E3D">
        <w:rPr>
          <w:rFonts w:ascii="ˎ̥" w:hAnsi="ˎ̥" w:cs="Arial"/>
          <w:kern w:val="0"/>
          <w:sz w:val="24"/>
        </w:rPr>
        <w:t>18.75%</w:t>
      </w:r>
      <w:r w:rsidRPr="009E0E3D">
        <w:rPr>
          <w:rFonts w:ascii="ˎ̥" w:hAnsi="ˎ̥" w:cs="Arial"/>
          <w:kern w:val="0"/>
          <w:sz w:val="24"/>
        </w:rPr>
        <w:t>，主要表现为呼吸困难、胸闷等；心血管系统</w:t>
      </w:r>
      <w:proofErr w:type="gramStart"/>
      <w:r w:rsidRPr="009E0E3D">
        <w:rPr>
          <w:rFonts w:ascii="ˎ̥" w:hAnsi="ˎ̥" w:cs="Arial"/>
          <w:kern w:val="0"/>
          <w:sz w:val="24"/>
        </w:rPr>
        <w:t>损害占</w:t>
      </w:r>
      <w:proofErr w:type="gramEnd"/>
      <w:r w:rsidRPr="009E0E3D">
        <w:rPr>
          <w:rFonts w:ascii="ˎ̥" w:hAnsi="ˎ̥" w:cs="Arial"/>
          <w:kern w:val="0"/>
          <w:sz w:val="24"/>
        </w:rPr>
        <w:t>10.42</w:t>
      </w:r>
      <w:r w:rsidRPr="009E0E3D">
        <w:rPr>
          <w:rFonts w:ascii="ˎ̥" w:hAnsi="ˎ̥" w:cs="Arial"/>
          <w:kern w:val="0"/>
          <w:sz w:val="24"/>
        </w:rPr>
        <w:t>％，主要表现</w:t>
      </w:r>
    </w:p>
    <w:p w:rsidR="00E06035" w:rsidRPr="009E0E3D" w:rsidRDefault="00E06035" w:rsidP="00E06035">
      <w:pPr>
        <w:spacing w:line="360" w:lineRule="exact"/>
        <w:rPr>
          <w:rFonts w:ascii="ˎ̥" w:hAnsi="ˎ̥" w:cs="Arial"/>
          <w:kern w:val="0"/>
          <w:sz w:val="24"/>
        </w:rPr>
      </w:pPr>
      <w:r w:rsidRPr="009E0E3D">
        <w:rPr>
          <w:rFonts w:ascii="ˎ̥" w:hAnsi="ˎ̥" w:cs="Arial"/>
          <w:kern w:val="0"/>
          <w:sz w:val="24"/>
        </w:rPr>
        <w:t>为心悸、紫</w:t>
      </w:r>
      <w:proofErr w:type="gramStart"/>
      <w:r w:rsidRPr="009E0E3D">
        <w:rPr>
          <w:rFonts w:ascii="ˎ̥" w:hAnsi="ˎ̥" w:cs="Arial"/>
          <w:kern w:val="0"/>
          <w:sz w:val="24"/>
        </w:rPr>
        <w:t>绀</w:t>
      </w:r>
      <w:proofErr w:type="gramEnd"/>
      <w:r w:rsidRPr="009E0E3D">
        <w:rPr>
          <w:rFonts w:ascii="ˎ̥" w:hAnsi="ˎ̥" w:cs="Arial"/>
          <w:kern w:val="0"/>
          <w:sz w:val="24"/>
        </w:rPr>
        <w:t>等。</w:t>
      </w:r>
    </w:p>
    <w:p w:rsidR="00382069" w:rsidRDefault="00E06035" w:rsidP="00E06035">
      <w:pPr>
        <w:ind w:firstLineChars="200" w:firstLine="480"/>
        <w:rPr>
          <w:rFonts w:ascii="宋体" w:hAnsi="宋体"/>
          <w:sz w:val="24"/>
          <w:lang w:val="de-DE"/>
        </w:rPr>
      </w:pPr>
      <w:r w:rsidRPr="009E0E3D">
        <w:rPr>
          <w:rFonts w:ascii="宋体" w:hAnsi="宋体"/>
          <w:sz w:val="24"/>
          <w:lang w:val="de-DE"/>
        </w:rPr>
        <w:t>上市后监测中发现本品有以下不良反应/事件报告（发生率未知）：1.胃肠系统：恶心、呕吐、胃肠道反应、腹痛、腹泻、腹胀等。2.局部反应：静脉炎、注射部位疼痛等。3.心血管系统：胸闷、心悸、心前区不适、心律失常、血压下降等。4.全身性反应：畏寒、寒战、发热、疼痛、多汗、乏力等。5.皮肤及附件：潮红、紫</w:t>
      </w:r>
      <w:proofErr w:type="gramStart"/>
      <w:r w:rsidRPr="009E0E3D">
        <w:rPr>
          <w:rFonts w:ascii="宋体" w:hAnsi="宋体"/>
          <w:sz w:val="24"/>
          <w:lang w:val="de-DE"/>
        </w:rPr>
        <w:t>绀</w:t>
      </w:r>
      <w:proofErr w:type="gramEnd"/>
      <w:r w:rsidRPr="009E0E3D">
        <w:rPr>
          <w:rFonts w:ascii="宋体" w:hAnsi="宋体"/>
          <w:sz w:val="24"/>
          <w:lang w:val="de-DE"/>
        </w:rPr>
        <w:t>、皮疹、瘙痒、局部皮肤反应等。6.神经精神系统：头晕、头痛、抽搐、震颤、麻木、烦躁等。7.免疫系统：过敏样反应、过敏反应，严重者可出现过敏性休克等。8.呼吸系统：呼吸困难、呼吸急促等。9.其他：高钾血症等。</w:t>
      </w:r>
    </w:p>
    <w:p w:rsidR="00E06035" w:rsidRPr="009E0E3D" w:rsidRDefault="00E06035" w:rsidP="00382069">
      <w:pPr>
        <w:rPr>
          <w:rFonts w:eastAsia="仿宋_GB2312"/>
          <w:sz w:val="32"/>
          <w:szCs w:val="32"/>
          <w:lang w:val="de-DE"/>
        </w:rPr>
      </w:pPr>
      <w:r w:rsidRPr="009E0E3D">
        <w:rPr>
          <w:rFonts w:ascii="宋体" w:hAnsi="宋体" w:hint="eastAsia"/>
          <w:sz w:val="24"/>
        </w:rPr>
        <w:t>【禁忌】高钾血症、急性和慢性肾功能衰竭、Addison氏病、Ⅲ°房室传导阻滞、心源性休克（血压低于90毫米汞柱）禁用。</w:t>
      </w:r>
      <w:r w:rsidRPr="009E0E3D">
        <w:rPr>
          <w:rFonts w:ascii="宋体" w:hAnsi="宋体" w:hint="eastAsia"/>
          <w:sz w:val="24"/>
          <w:lang w:val="de-DE"/>
        </w:rPr>
        <w:t>2.</w:t>
      </w:r>
      <w:r w:rsidRPr="009E0E3D">
        <w:rPr>
          <w:rFonts w:ascii="宋体" w:hAnsi="宋体"/>
          <w:sz w:val="24"/>
          <w:lang w:val="de-DE"/>
        </w:rPr>
        <w:t>对本品及所含成份过敏者禁用。</w:t>
      </w:r>
      <w:r w:rsidRPr="009E0E3D">
        <w:rPr>
          <w:rFonts w:ascii="宋体" w:hAnsi="宋体" w:hint="eastAsia"/>
          <w:sz w:val="24"/>
          <w:lang w:val="de-DE"/>
        </w:rPr>
        <w:t>3</w:t>
      </w:r>
      <w:r w:rsidRPr="009E0E3D">
        <w:rPr>
          <w:rFonts w:ascii="宋体" w:hAnsi="宋体"/>
          <w:sz w:val="24"/>
          <w:lang w:val="de-DE"/>
        </w:rPr>
        <w:t>.高镁血症。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  <w:lang w:val="de-DE"/>
        </w:rPr>
      </w:pPr>
      <w:r w:rsidRPr="009E0E3D">
        <w:rPr>
          <w:rFonts w:ascii="宋体" w:hAnsi="宋体" w:hint="eastAsia"/>
          <w:sz w:val="24"/>
        </w:rPr>
        <w:t>【注意事项】（</w:t>
      </w:r>
      <w:r w:rsidRPr="009E0E3D">
        <w:rPr>
          <w:rFonts w:ascii="宋体" w:hAnsi="宋体"/>
          <w:sz w:val="24"/>
        </w:rPr>
        <w:t>1）本品</w:t>
      </w:r>
      <w:r w:rsidRPr="009E0E3D">
        <w:rPr>
          <w:rFonts w:ascii="宋体" w:hAnsi="宋体" w:hint="eastAsia"/>
          <w:sz w:val="24"/>
        </w:rPr>
        <w:t>不能肌内注射和静脉推注，静脉滴注速度宜缓慢。（</w:t>
      </w:r>
      <w:r w:rsidRPr="009E0E3D">
        <w:rPr>
          <w:rFonts w:ascii="宋体" w:hAnsi="宋体"/>
          <w:sz w:val="24"/>
        </w:rPr>
        <w:t>2）本品未经稀释不得进行注射。</w:t>
      </w:r>
      <w:r w:rsidRPr="009E0E3D">
        <w:rPr>
          <w:rFonts w:ascii="宋体" w:hAnsi="宋体" w:hint="eastAsia"/>
          <w:sz w:val="24"/>
        </w:rPr>
        <w:t>（3）肾功能损害、房室传导阻滞患者慎用。（4）有电解质紊乱的患者应常规性检查血钾、镁离子浓度。（5）本品</w:t>
      </w:r>
      <w:r w:rsidRPr="009E0E3D">
        <w:rPr>
          <w:rFonts w:ascii="ˎ̥" w:hAnsi="ˎ̥" w:cs="Arial"/>
          <w:kern w:val="0"/>
          <w:sz w:val="24"/>
        </w:rPr>
        <w:t>易发生过敏反应，医护人员在用药前应详细询问患者的过敏史，对本品所含成份过敏者禁用，过敏体质者慎用。在给药期间应对患者密切观察，一旦出现过敏症状，则应立即停药或</w:t>
      </w:r>
      <w:r w:rsidRPr="009E0E3D">
        <w:rPr>
          <w:rFonts w:ascii="ˎ̥" w:hAnsi="ˎ̥" w:cs="Arial"/>
          <w:kern w:val="0"/>
          <w:sz w:val="24"/>
        </w:rPr>
        <w:lastRenderedPageBreak/>
        <w:t>给予适当的救治措施。</w:t>
      </w:r>
      <w:r w:rsidRPr="009E0E3D">
        <w:rPr>
          <w:rFonts w:ascii="宋体" w:hAnsi="宋体" w:cs="Arial" w:hint="eastAsia"/>
          <w:kern w:val="0"/>
          <w:sz w:val="24"/>
        </w:rPr>
        <w:t>（6）</w:t>
      </w:r>
      <w:r w:rsidRPr="009E0E3D">
        <w:rPr>
          <w:rFonts w:ascii="宋体" w:hAnsi="宋体" w:cs="Arial"/>
          <w:kern w:val="0"/>
          <w:sz w:val="24"/>
        </w:rPr>
        <w:t>医护人员应严格按照说明书规定的适应症给药，不得超适应症使用。在使用门冬氨酸钾镁注射剂时尽量单独用药，并在使用过程中密切监测血钾和血镁浓度，及时调整剂量，以减少严重不良反应的发生。</w:t>
      </w:r>
      <w:r w:rsidRPr="009E0E3D">
        <w:rPr>
          <w:rFonts w:ascii="宋体" w:hAnsi="宋体" w:hint="eastAsia"/>
          <w:sz w:val="24"/>
          <w:lang w:val="de-DE"/>
        </w:rPr>
        <w:t>(7)</w:t>
      </w:r>
      <w:r w:rsidRPr="009E0E3D">
        <w:rPr>
          <w:rFonts w:ascii="宋体" w:hAnsi="宋体"/>
          <w:sz w:val="24"/>
          <w:lang w:val="de-DE"/>
        </w:rPr>
        <w:t>使用本品时应按照用法用量稀释，滴注速度应缓慢，注意患者用药后反应。</w:t>
      </w:r>
      <w:r w:rsidRPr="009E0E3D">
        <w:rPr>
          <w:rFonts w:ascii="宋体" w:hAnsi="宋体" w:hint="eastAsia"/>
          <w:sz w:val="24"/>
          <w:lang w:val="de-DE"/>
        </w:rPr>
        <w:t>(8)</w:t>
      </w:r>
      <w:r w:rsidRPr="009E0E3D">
        <w:rPr>
          <w:rFonts w:ascii="宋体" w:hAnsi="宋体"/>
          <w:sz w:val="24"/>
          <w:lang w:val="de-DE"/>
        </w:rPr>
        <w:t>使用本品前及用药过程中注意血钾浓度，尤其是急慢性肾功能不全患者。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【孕妇及哺乳期妇女用药】尚不明确，建议慎用本品。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【儿童用药】无可靠数据表明本品对儿童有任何毒害作用。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【老年用药】老年人肾脏功能下降，应慎用。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【药物相互作用】（1）本品能够抑制四环素、铁盐、氟化钠的吸收。（2）本品与保钾利尿药或血管紧张素转换酶抑制剂（ACEI）配伍时，可能会发生高钾血症。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【药物过量】至今临床上尚无过量应用本品的事件发生。一旦过量应用本品，会出现高钾血症和高镁血症的症状，此时应立即停用本品，并予以对症治疗（静推氯化钙100毫克/分钟，必要时可应用利尿剂）。</w:t>
      </w:r>
    </w:p>
    <w:p w:rsidR="00E06035" w:rsidRPr="009E0E3D" w:rsidRDefault="00E06035" w:rsidP="00E06035">
      <w:pPr>
        <w:spacing w:line="360" w:lineRule="exact"/>
        <w:ind w:firstLineChars="50" w:firstLine="12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【药理毒理】门冬氨酸钾镁是门冬氨酸钾盐和镁盐的混合物，为电解质补充药。镁和钾是细胞内的重要阳离子，在多种</w:t>
      </w:r>
      <w:proofErr w:type="gramStart"/>
      <w:r w:rsidRPr="009E0E3D">
        <w:rPr>
          <w:rFonts w:ascii="宋体" w:hAnsi="宋体" w:hint="eastAsia"/>
          <w:sz w:val="24"/>
        </w:rPr>
        <w:t>酶反应</w:t>
      </w:r>
      <w:proofErr w:type="gramEnd"/>
      <w:r w:rsidRPr="009E0E3D">
        <w:rPr>
          <w:rFonts w:ascii="宋体" w:hAnsi="宋体" w:hint="eastAsia"/>
          <w:sz w:val="24"/>
        </w:rPr>
        <w:t>和肌肉收缩过程中扮演着重要的角色，细胞内外钾离子、钙离子、镁离子浓度的比例影响心肌收缩性。门冬氨酸是体内草酰乙酸的前体，在三羧酸循环中起重要作用。同时，门冬氨酸也参与鸟氨酸循环，促进氨和二氧化碳的代谢，使之生成尿素，降低血中氨和二氧化碳的含量。门冬氨酸对细胞有很强的亲和力，可作为钾、镁离子进入细胞的载体，使钾离子重返细胞内，促进细胞除极化的细胞代谢，维持其正常功能。镁离子是生成糖原及高能磷酸</w:t>
      </w:r>
      <w:proofErr w:type="gramStart"/>
      <w:r w:rsidRPr="009E0E3D">
        <w:rPr>
          <w:rFonts w:ascii="宋体" w:hAnsi="宋体" w:hint="eastAsia"/>
          <w:sz w:val="24"/>
        </w:rPr>
        <w:t>酯</w:t>
      </w:r>
      <w:proofErr w:type="gramEnd"/>
      <w:r w:rsidRPr="009E0E3D">
        <w:rPr>
          <w:rFonts w:ascii="宋体" w:hAnsi="宋体" w:hint="eastAsia"/>
          <w:sz w:val="24"/>
        </w:rPr>
        <w:t>不可缺少的物质，可增强门冬氨酸钾盐的治疗作用。</w:t>
      </w:r>
    </w:p>
    <w:p w:rsidR="00E06035" w:rsidRPr="009E0E3D" w:rsidRDefault="00E06035" w:rsidP="00E06035">
      <w:pPr>
        <w:spacing w:line="360" w:lineRule="exact"/>
        <w:ind w:firstLineChars="250" w:firstLine="60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临床常用剂量，未观察到明显毒、副作用。小鼠静注的LD</w:t>
      </w:r>
      <w:r w:rsidRPr="009E0E3D">
        <w:rPr>
          <w:rFonts w:ascii="宋体" w:hAnsi="宋体" w:hint="eastAsia"/>
          <w:sz w:val="24"/>
          <w:vertAlign w:val="subscript"/>
        </w:rPr>
        <w:t>50</w:t>
      </w:r>
      <w:r w:rsidRPr="009E0E3D">
        <w:rPr>
          <w:rFonts w:ascii="宋体" w:hAnsi="宋体" w:hint="eastAsia"/>
          <w:sz w:val="24"/>
        </w:rPr>
        <w:t>大于700</w:t>
      </w:r>
      <w:r w:rsidRPr="009E0E3D">
        <w:rPr>
          <w:rFonts w:ascii="宋体" w:hAnsi="宋体"/>
          <w:sz w:val="24"/>
        </w:rPr>
        <w:t>mg/kg</w:t>
      </w:r>
      <w:r w:rsidRPr="009E0E3D">
        <w:rPr>
          <w:rFonts w:ascii="宋体" w:hAnsi="宋体" w:hint="eastAsia"/>
          <w:sz w:val="24"/>
        </w:rPr>
        <w:t>。</w:t>
      </w:r>
    </w:p>
    <w:p w:rsidR="00E06035" w:rsidRPr="009E0E3D" w:rsidRDefault="00E06035" w:rsidP="00E06035">
      <w:pPr>
        <w:spacing w:line="360" w:lineRule="exact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【药代动力学】尚无本品经静脉给药的药代动力学资料。据文献资料报道：动物口服门冬氨酸钾镁后0.5～1小时血浆浓度达峰值，1小时后肝脏浓度最高，其次为血、肾、肌肉、心脏和小肠等。</w:t>
      </w:r>
    </w:p>
    <w:p w:rsidR="00E06035" w:rsidRPr="009E0E3D" w:rsidRDefault="00E06035" w:rsidP="00E06035">
      <w:pPr>
        <w:tabs>
          <w:tab w:val="left" w:pos="-2415"/>
        </w:tabs>
        <w:spacing w:line="360" w:lineRule="exact"/>
        <w:ind w:left="120" w:hangingChars="50" w:hanging="120"/>
        <w:rPr>
          <w:rFonts w:ascii="宋体" w:hAnsi="宋体"/>
          <w:sz w:val="24"/>
        </w:rPr>
      </w:pPr>
      <w:r w:rsidRPr="009E0E3D">
        <w:rPr>
          <w:rFonts w:ascii="宋体" w:hAnsi="宋体" w:hint="eastAsia"/>
          <w:b/>
          <w:bCs/>
          <w:sz w:val="24"/>
        </w:rPr>
        <w:t>【</w:t>
      </w:r>
      <w:r w:rsidRPr="009E0E3D">
        <w:rPr>
          <w:rFonts w:ascii="宋体" w:hAnsi="宋体" w:hint="eastAsia"/>
          <w:bCs/>
          <w:sz w:val="24"/>
        </w:rPr>
        <w:t>贮</w:t>
      </w:r>
      <w:r w:rsidRPr="009E0E3D">
        <w:rPr>
          <w:rFonts w:ascii="宋体" w:hAnsi="宋体"/>
          <w:bCs/>
          <w:sz w:val="24"/>
        </w:rPr>
        <w:t xml:space="preserve">    </w:t>
      </w:r>
      <w:r w:rsidRPr="009E0E3D">
        <w:rPr>
          <w:rFonts w:ascii="宋体" w:hAnsi="宋体" w:hint="eastAsia"/>
          <w:bCs/>
          <w:sz w:val="24"/>
        </w:rPr>
        <w:t>藏</w:t>
      </w:r>
      <w:r w:rsidRPr="009E0E3D">
        <w:rPr>
          <w:rFonts w:ascii="宋体" w:hAnsi="宋体" w:hint="eastAsia"/>
          <w:b/>
          <w:bCs/>
          <w:sz w:val="24"/>
        </w:rPr>
        <w:t>】</w:t>
      </w:r>
      <w:r w:rsidRPr="009E0E3D">
        <w:rPr>
          <w:rFonts w:ascii="宋体" w:hAnsi="宋体" w:hint="eastAsia"/>
          <w:sz w:val="24"/>
        </w:rPr>
        <w:t>遮光，密闭保存。</w:t>
      </w:r>
    </w:p>
    <w:p w:rsidR="00E06035" w:rsidRPr="009E0E3D" w:rsidRDefault="00E06035" w:rsidP="00E06035">
      <w:pPr>
        <w:tabs>
          <w:tab w:val="left" w:pos="-2415"/>
        </w:tabs>
        <w:spacing w:line="360" w:lineRule="exact"/>
        <w:ind w:left="120" w:hangingChars="50" w:hanging="120"/>
        <w:rPr>
          <w:rFonts w:ascii="宋体" w:hAnsi="宋体"/>
          <w:sz w:val="24"/>
        </w:rPr>
      </w:pPr>
      <w:r w:rsidRPr="009E0E3D">
        <w:rPr>
          <w:rFonts w:ascii="宋体" w:hAnsi="宋体" w:hint="eastAsia"/>
          <w:bCs/>
          <w:sz w:val="24"/>
        </w:rPr>
        <w:t>【</w:t>
      </w:r>
      <w:r w:rsidRPr="009E0E3D">
        <w:rPr>
          <w:rFonts w:ascii="宋体" w:hAnsi="宋体" w:hint="eastAsia"/>
          <w:sz w:val="24"/>
        </w:rPr>
        <w:t>包</w:t>
      </w:r>
      <w:r w:rsidRPr="009E0E3D">
        <w:rPr>
          <w:rFonts w:ascii="宋体" w:hAnsi="宋体"/>
          <w:sz w:val="24"/>
        </w:rPr>
        <w:t xml:space="preserve">    </w:t>
      </w:r>
      <w:r w:rsidRPr="009E0E3D">
        <w:rPr>
          <w:rFonts w:ascii="宋体" w:hAnsi="宋体" w:hint="eastAsia"/>
          <w:sz w:val="24"/>
        </w:rPr>
        <w:t>装</w:t>
      </w:r>
      <w:r w:rsidRPr="009E0E3D">
        <w:rPr>
          <w:rFonts w:ascii="宋体" w:hAnsi="宋体" w:hint="eastAsia"/>
          <w:bCs/>
          <w:sz w:val="24"/>
        </w:rPr>
        <w:t>】</w:t>
      </w:r>
      <w:proofErr w:type="gramStart"/>
      <w:r w:rsidRPr="009E0E3D">
        <w:rPr>
          <w:rFonts w:ascii="宋体" w:hAnsi="宋体" w:hint="eastAsia"/>
          <w:sz w:val="24"/>
        </w:rPr>
        <w:t>低硼硅玻璃</w:t>
      </w:r>
      <w:proofErr w:type="gramEnd"/>
      <w:r w:rsidRPr="009E0E3D">
        <w:rPr>
          <w:rFonts w:ascii="宋体" w:hAnsi="宋体" w:hint="eastAsia"/>
          <w:sz w:val="24"/>
        </w:rPr>
        <w:t>安瓿，5支/盒</w:t>
      </w:r>
      <w:r w:rsidRPr="009E0E3D">
        <w:rPr>
          <w:rFonts w:ascii="宋体" w:hAnsi="宋体" w:hint="eastAsia"/>
          <w:bCs/>
          <w:sz w:val="24"/>
        </w:rPr>
        <w:t>。</w:t>
      </w:r>
    </w:p>
    <w:p w:rsidR="00E06035" w:rsidRPr="009E0E3D" w:rsidRDefault="00E06035" w:rsidP="00E06035">
      <w:pPr>
        <w:tabs>
          <w:tab w:val="left" w:pos="-2415"/>
        </w:tabs>
        <w:spacing w:line="360" w:lineRule="exact"/>
        <w:ind w:left="120" w:hangingChars="50" w:hanging="120"/>
        <w:rPr>
          <w:rFonts w:ascii="宋体" w:hAnsi="宋体"/>
          <w:sz w:val="24"/>
        </w:rPr>
      </w:pPr>
      <w:r w:rsidRPr="009E0E3D">
        <w:rPr>
          <w:rFonts w:ascii="宋体" w:hAnsi="宋体" w:hint="eastAsia"/>
          <w:b/>
          <w:bCs/>
          <w:sz w:val="24"/>
        </w:rPr>
        <w:t>【</w:t>
      </w:r>
      <w:r w:rsidRPr="009E0E3D">
        <w:rPr>
          <w:rFonts w:ascii="宋体" w:hAnsi="宋体" w:hint="eastAsia"/>
          <w:bCs/>
          <w:sz w:val="24"/>
        </w:rPr>
        <w:t>有</w:t>
      </w:r>
      <w:r w:rsidRPr="009E0E3D">
        <w:rPr>
          <w:rFonts w:ascii="宋体" w:hAnsi="宋体"/>
          <w:bCs/>
          <w:sz w:val="24"/>
        </w:rPr>
        <w:t xml:space="preserve"> </w:t>
      </w:r>
      <w:r w:rsidRPr="009E0E3D">
        <w:rPr>
          <w:rFonts w:ascii="宋体" w:hAnsi="宋体" w:hint="eastAsia"/>
          <w:bCs/>
          <w:sz w:val="24"/>
        </w:rPr>
        <w:t>效</w:t>
      </w:r>
      <w:r w:rsidRPr="009E0E3D">
        <w:rPr>
          <w:rFonts w:ascii="宋体" w:hAnsi="宋体"/>
          <w:bCs/>
          <w:sz w:val="24"/>
        </w:rPr>
        <w:t xml:space="preserve"> </w:t>
      </w:r>
      <w:r w:rsidRPr="009E0E3D">
        <w:rPr>
          <w:rFonts w:ascii="宋体" w:hAnsi="宋体" w:hint="eastAsia"/>
          <w:bCs/>
          <w:sz w:val="24"/>
        </w:rPr>
        <w:t>期</w:t>
      </w:r>
      <w:r w:rsidRPr="009E0E3D">
        <w:rPr>
          <w:rFonts w:ascii="宋体" w:hAnsi="宋体" w:hint="eastAsia"/>
          <w:b/>
          <w:bCs/>
          <w:sz w:val="24"/>
        </w:rPr>
        <w:t>】</w:t>
      </w:r>
      <w:r w:rsidRPr="009E0E3D">
        <w:rPr>
          <w:rFonts w:ascii="宋体" w:hAnsi="宋体" w:hint="eastAsia"/>
          <w:sz w:val="24"/>
        </w:rPr>
        <w:t>24个月。</w:t>
      </w:r>
    </w:p>
    <w:p w:rsidR="00E06035" w:rsidRPr="009E0E3D" w:rsidRDefault="00E06035" w:rsidP="00E06035">
      <w:pPr>
        <w:spacing w:line="360" w:lineRule="exact"/>
        <w:ind w:left="120" w:hangingChars="50" w:hanging="120"/>
        <w:rPr>
          <w:rFonts w:ascii="宋体" w:hAnsi="宋体"/>
          <w:sz w:val="24"/>
        </w:rPr>
      </w:pPr>
      <w:r w:rsidRPr="009E0E3D">
        <w:rPr>
          <w:rFonts w:ascii="宋体" w:hAnsi="宋体"/>
          <w:sz w:val="24"/>
        </w:rPr>
        <w:t>【</w:t>
      </w:r>
      <w:r w:rsidRPr="009E0E3D">
        <w:rPr>
          <w:rFonts w:ascii="宋体" w:hAnsi="宋体" w:hint="eastAsia"/>
          <w:bCs/>
          <w:sz w:val="24"/>
        </w:rPr>
        <w:t>执行标准</w:t>
      </w:r>
      <w:r w:rsidRPr="009E0E3D">
        <w:rPr>
          <w:rFonts w:ascii="宋体" w:hAnsi="宋体"/>
          <w:sz w:val="24"/>
        </w:rPr>
        <w:t>】</w:t>
      </w:r>
      <w:r w:rsidRPr="009E0E3D">
        <w:rPr>
          <w:rFonts w:ascii="宋体" w:hAnsi="宋体" w:hint="eastAsia"/>
          <w:sz w:val="24"/>
        </w:rPr>
        <w:t>卫生部药品标准二部第五册、</w:t>
      </w:r>
      <w:r w:rsidRPr="009E0E3D">
        <w:rPr>
          <w:rFonts w:hint="eastAsia"/>
          <w:sz w:val="24"/>
        </w:rPr>
        <w:t>国家药品修订件（批件号：</w:t>
      </w:r>
      <w:r w:rsidRPr="009E0E3D">
        <w:rPr>
          <w:rFonts w:hint="eastAsia"/>
          <w:sz w:val="24"/>
        </w:rPr>
        <w:t>XGB2017-067</w:t>
      </w:r>
      <w:r w:rsidRPr="009E0E3D">
        <w:rPr>
          <w:rFonts w:hint="eastAsia"/>
          <w:sz w:val="24"/>
        </w:rPr>
        <w:t>）、国家药品补充颁布件（批件号：</w:t>
      </w:r>
      <w:r w:rsidRPr="009E0E3D">
        <w:rPr>
          <w:rFonts w:hint="eastAsia"/>
          <w:sz w:val="24"/>
        </w:rPr>
        <w:t>2018B011</w:t>
      </w:r>
      <w:r w:rsidRPr="009E0E3D">
        <w:rPr>
          <w:rFonts w:hint="eastAsia"/>
          <w:sz w:val="24"/>
        </w:rPr>
        <w:t>）</w:t>
      </w:r>
      <w:r w:rsidRPr="009E0E3D">
        <w:rPr>
          <w:rFonts w:ascii="宋体" w:hAnsi="宋体" w:hint="eastAsia"/>
          <w:sz w:val="24"/>
        </w:rPr>
        <w:t>。</w:t>
      </w:r>
    </w:p>
    <w:p w:rsidR="00E06035" w:rsidRPr="009E0E3D" w:rsidRDefault="00E06035" w:rsidP="00E06035">
      <w:pPr>
        <w:spacing w:line="360" w:lineRule="exact"/>
        <w:ind w:left="120" w:hangingChars="50" w:hanging="120"/>
        <w:rPr>
          <w:rFonts w:ascii="宋体" w:hAnsi="宋体"/>
          <w:sz w:val="24"/>
        </w:rPr>
      </w:pPr>
      <w:r w:rsidRPr="009E0E3D">
        <w:rPr>
          <w:rFonts w:ascii="宋体" w:hAnsi="宋体" w:hint="eastAsia"/>
          <w:b/>
          <w:bCs/>
          <w:sz w:val="24"/>
        </w:rPr>
        <w:t>【</w:t>
      </w:r>
      <w:r w:rsidRPr="009E0E3D">
        <w:rPr>
          <w:rFonts w:ascii="宋体" w:hAnsi="宋体" w:hint="eastAsia"/>
          <w:bCs/>
          <w:sz w:val="24"/>
        </w:rPr>
        <w:t>批准文号</w:t>
      </w:r>
      <w:r w:rsidRPr="009E0E3D">
        <w:rPr>
          <w:rFonts w:ascii="宋体" w:hAnsi="宋体" w:hint="eastAsia"/>
          <w:b/>
          <w:bCs/>
          <w:sz w:val="24"/>
        </w:rPr>
        <w:t>】</w:t>
      </w:r>
      <w:r w:rsidRPr="009E0E3D">
        <w:rPr>
          <w:rFonts w:ascii="宋体" w:hAnsi="宋体" w:hint="eastAsia"/>
          <w:bCs/>
          <w:sz w:val="24"/>
        </w:rPr>
        <w:t>国药准字</w:t>
      </w:r>
      <w:r w:rsidRPr="009E0E3D">
        <w:rPr>
          <w:rFonts w:ascii="宋体" w:hAnsi="宋体" w:hint="eastAsia"/>
          <w:sz w:val="24"/>
        </w:rPr>
        <w:t>H20056509</w:t>
      </w:r>
    </w:p>
    <w:p w:rsidR="00E06035" w:rsidRPr="009E0E3D" w:rsidRDefault="00E06035" w:rsidP="00E06035">
      <w:pPr>
        <w:outlineLvl w:val="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【上市许可持有人】海南制药厂有限公司制药二厂</w:t>
      </w:r>
    </w:p>
    <w:p w:rsidR="00E06035" w:rsidRPr="009E0E3D" w:rsidRDefault="00E06035" w:rsidP="00E06035">
      <w:pPr>
        <w:outlineLvl w:val="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【地    址】林州市</w:t>
      </w:r>
      <w:proofErr w:type="gramStart"/>
      <w:r w:rsidRPr="009E0E3D">
        <w:rPr>
          <w:rFonts w:ascii="宋体" w:hAnsi="宋体" w:hint="eastAsia"/>
          <w:sz w:val="24"/>
        </w:rPr>
        <w:t>史家河</w:t>
      </w:r>
      <w:proofErr w:type="gramEnd"/>
      <w:r w:rsidRPr="009E0E3D">
        <w:rPr>
          <w:rFonts w:ascii="宋体" w:hAnsi="宋体" w:hint="eastAsia"/>
          <w:sz w:val="24"/>
        </w:rPr>
        <w:t>工业园区</w:t>
      </w:r>
    </w:p>
    <w:p w:rsidR="00E06035" w:rsidRPr="009E0E3D" w:rsidRDefault="00E06035" w:rsidP="00E06035">
      <w:pPr>
        <w:pStyle w:val="a3"/>
        <w:spacing w:line="360" w:lineRule="exact"/>
        <w:rPr>
          <w:rFonts w:hAnsi="宋体"/>
          <w:sz w:val="24"/>
          <w:szCs w:val="24"/>
        </w:rPr>
      </w:pPr>
      <w:r w:rsidRPr="009E0E3D">
        <w:rPr>
          <w:rFonts w:hAnsi="宋体"/>
          <w:sz w:val="24"/>
          <w:szCs w:val="24"/>
        </w:rPr>
        <w:t>【</w:t>
      </w:r>
      <w:r w:rsidRPr="009E0E3D">
        <w:rPr>
          <w:rFonts w:hAnsi="宋体"/>
          <w:bCs/>
          <w:sz w:val="24"/>
          <w:szCs w:val="24"/>
        </w:rPr>
        <w:t>生产企业</w:t>
      </w:r>
      <w:r w:rsidRPr="009E0E3D">
        <w:rPr>
          <w:rFonts w:hAnsi="宋体"/>
          <w:sz w:val="24"/>
          <w:szCs w:val="24"/>
        </w:rPr>
        <w:t>】</w:t>
      </w:r>
    </w:p>
    <w:p w:rsidR="00E06035" w:rsidRPr="009E0E3D" w:rsidRDefault="00E06035" w:rsidP="00E06035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企业名称：海南制药厂有限公司制药二厂</w:t>
      </w:r>
    </w:p>
    <w:p w:rsidR="00E06035" w:rsidRPr="009E0E3D" w:rsidRDefault="00E06035" w:rsidP="00E06035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生产地址：林州市</w:t>
      </w:r>
      <w:proofErr w:type="gramStart"/>
      <w:r w:rsidRPr="009E0E3D">
        <w:rPr>
          <w:rFonts w:ascii="宋体" w:hAnsi="宋体" w:hint="eastAsia"/>
          <w:sz w:val="24"/>
        </w:rPr>
        <w:t>史家河</w:t>
      </w:r>
      <w:proofErr w:type="gramEnd"/>
      <w:r w:rsidRPr="009E0E3D">
        <w:rPr>
          <w:rFonts w:ascii="宋体" w:hAnsi="宋体" w:hint="eastAsia"/>
          <w:sz w:val="24"/>
        </w:rPr>
        <w:t>工业园区</w:t>
      </w:r>
    </w:p>
    <w:p w:rsidR="00E06035" w:rsidRPr="009E0E3D" w:rsidRDefault="00E06035" w:rsidP="00E06035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邮政编码：456592</w:t>
      </w:r>
    </w:p>
    <w:p w:rsidR="00E06035" w:rsidRPr="009E0E3D" w:rsidRDefault="00E06035" w:rsidP="00E06035">
      <w:pPr>
        <w:spacing w:line="360" w:lineRule="exact"/>
        <w:ind w:firstLineChars="300" w:firstLine="720"/>
        <w:rPr>
          <w:rFonts w:ascii="宋体" w:hAnsi="宋体"/>
          <w:sz w:val="24"/>
        </w:rPr>
      </w:pPr>
      <w:r w:rsidRPr="009E0E3D">
        <w:rPr>
          <w:rFonts w:ascii="宋体" w:hAnsi="宋体" w:hint="eastAsia"/>
          <w:sz w:val="24"/>
        </w:rPr>
        <w:t>电话号码：0372-6515111</w:t>
      </w:r>
    </w:p>
    <w:p w:rsidR="00A75950" w:rsidRDefault="00E06035" w:rsidP="00357F72">
      <w:pPr>
        <w:spacing w:line="360" w:lineRule="exact"/>
        <w:ind w:firstLineChars="300" w:firstLine="720"/>
      </w:pPr>
      <w:r w:rsidRPr="009E0E3D">
        <w:rPr>
          <w:rFonts w:ascii="宋体" w:hAnsi="宋体" w:hint="eastAsia"/>
          <w:sz w:val="24"/>
        </w:rPr>
        <w:t xml:space="preserve">传真号码：0372-6515111 </w:t>
      </w:r>
    </w:p>
    <w:sectPr w:rsidR="00A7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35"/>
    <w:rsid w:val="00357F72"/>
    <w:rsid w:val="00382069"/>
    <w:rsid w:val="00A75950"/>
    <w:rsid w:val="00E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0603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E06035"/>
    <w:rPr>
      <w:rFonts w:ascii="宋体" w:eastAsia="宋体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06035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link w:val="a3"/>
    <w:rsid w:val="00E06035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2018</Characters>
  <Application>Microsoft Office Word</Application>
  <DocSecurity>0</DocSecurity>
  <Lines>16</Lines>
  <Paragraphs>4</Paragraphs>
  <ScaleCrop>false</ScaleCrop>
  <Company>2012dnd.com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2024-08-27T01:39:00Z</dcterms:created>
  <dcterms:modified xsi:type="dcterms:W3CDTF">2025-01-13T03:06:00Z</dcterms:modified>
</cp:coreProperties>
</file>