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C9A" w:rsidRPr="00E7365E" w:rsidRDefault="00326C9A" w:rsidP="00326C9A">
      <w:pPr>
        <w:spacing w:line="0" w:lineRule="atLeast"/>
        <w:rPr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4844143</wp:posOffset>
            </wp:positionH>
            <wp:positionV relativeFrom="paragraph">
              <wp:posOffset>-15513</wp:posOffset>
            </wp:positionV>
            <wp:extent cx="313055" cy="368300"/>
            <wp:effectExtent l="0" t="0" r="0" b="0"/>
            <wp:wrapNone/>
            <wp:docPr id="1" name="图片 1" descr="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365E">
        <w:rPr>
          <w:sz w:val="24"/>
        </w:rPr>
        <w:t>核准日期：</w:t>
      </w:r>
      <w:r w:rsidRPr="00E7365E">
        <w:rPr>
          <w:rFonts w:hint="eastAsia"/>
          <w:sz w:val="24"/>
        </w:rPr>
        <w:t>2007</w:t>
      </w:r>
      <w:r w:rsidRPr="00E7365E">
        <w:rPr>
          <w:rFonts w:hint="eastAsia"/>
          <w:sz w:val="24"/>
        </w:rPr>
        <w:t>年</w:t>
      </w:r>
      <w:r w:rsidRPr="00E7365E">
        <w:rPr>
          <w:rFonts w:hint="eastAsia"/>
          <w:sz w:val="24"/>
        </w:rPr>
        <w:t>07</w:t>
      </w:r>
      <w:r w:rsidRPr="00E7365E">
        <w:rPr>
          <w:rFonts w:hint="eastAsia"/>
          <w:sz w:val="24"/>
        </w:rPr>
        <w:t>月</w:t>
      </w:r>
      <w:r w:rsidRPr="00E7365E">
        <w:rPr>
          <w:rFonts w:hint="eastAsia"/>
          <w:sz w:val="24"/>
        </w:rPr>
        <w:t>18</w:t>
      </w:r>
      <w:r w:rsidRPr="00E7365E">
        <w:rPr>
          <w:rFonts w:hint="eastAsia"/>
          <w:sz w:val="24"/>
        </w:rPr>
        <w:t>日</w:t>
      </w:r>
    </w:p>
    <w:p w:rsidR="00326C9A" w:rsidRPr="00E7365E" w:rsidRDefault="00326C9A" w:rsidP="00326C9A">
      <w:pPr>
        <w:spacing w:line="0" w:lineRule="atLeast"/>
        <w:rPr>
          <w:sz w:val="24"/>
        </w:rPr>
      </w:pPr>
      <w:r w:rsidRPr="00E7365E">
        <w:rPr>
          <w:rFonts w:hint="eastAsia"/>
          <w:sz w:val="24"/>
        </w:rPr>
        <w:t>修订日期：</w:t>
      </w:r>
      <w:r w:rsidRPr="00E7365E">
        <w:rPr>
          <w:rFonts w:hint="eastAsia"/>
          <w:sz w:val="24"/>
        </w:rPr>
        <w:t>2020</w:t>
      </w:r>
      <w:r w:rsidRPr="00E7365E">
        <w:rPr>
          <w:rFonts w:hint="eastAsia"/>
          <w:sz w:val="24"/>
        </w:rPr>
        <w:t>年</w:t>
      </w:r>
      <w:r w:rsidRPr="00E7365E">
        <w:rPr>
          <w:rFonts w:hint="eastAsia"/>
          <w:sz w:val="24"/>
        </w:rPr>
        <w:t>12</w:t>
      </w:r>
      <w:r w:rsidRPr="00E7365E">
        <w:rPr>
          <w:rFonts w:hint="eastAsia"/>
          <w:sz w:val="24"/>
        </w:rPr>
        <w:t>月</w:t>
      </w:r>
      <w:r w:rsidRPr="00E7365E">
        <w:rPr>
          <w:rFonts w:hint="eastAsia"/>
          <w:sz w:val="24"/>
        </w:rPr>
        <w:t>30</w:t>
      </w:r>
      <w:r w:rsidRPr="00E7365E">
        <w:rPr>
          <w:rFonts w:hint="eastAsia"/>
          <w:sz w:val="24"/>
        </w:rPr>
        <w:t>日</w:t>
      </w:r>
      <w:r w:rsidRPr="00E7365E">
        <w:rPr>
          <w:rFonts w:hint="eastAsia"/>
          <w:sz w:val="24"/>
        </w:rPr>
        <w:t xml:space="preserve">                                                         </w:t>
      </w:r>
    </w:p>
    <w:p w:rsidR="00326C9A" w:rsidRPr="007A0846" w:rsidRDefault="00326C9A" w:rsidP="00326C9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A0846">
        <w:rPr>
          <w:rFonts w:hint="eastAsia"/>
          <w:b/>
          <w:sz w:val="32"/>
          <w:szCs w:val="32"/>
        </w:rPr>
        <w:t>马来酸</w:t>
      </w:r>
      <w:proofErr w:type="gramStart"/>
      <w:r w:rsidRPr="007A0846">
        <w:rPr>
          <w:rFonts w:hint="eastAsia"/>
          <w:b/>
          <w:sz w:val="32"/>
          <w:szCs w:val="32"/>
        </w:rPr>
        <w:t>氯苯那敏</w:t>
      </w:r>
      <w:r w:rsidRPr="007A0846">
        <w:rPr>
          <w:b/>
          <w:sz w:val="32"/>
          <w:szCs w:val="32"/>
        </w:rPr>
        <w:t>注射液</w:t>
      </w:r>
      <w:proofErr w:type="gramEnd"/>
      <w:r w:rsidRPr="007A0846">
        <w:rPr>
          <w:b/>
          <w:sz w:val="32"/>
          <w:szCs w:val="32"/>
        </w:rPr>
        <w:t>说明书</w:t>
      </w:r>
    </w:p>
    <w:p w:rsidR="00326C9A" w:rsidRPr="00E7365E" w:rsidRDefault="00326C9A" w:rsidP="00326C9A">
      <w:pPr>
        <w:jc w:val="center"/>
        <w:rPr>
          <w:b/>
          <w:sz w:val="24"/>
        </w:rPr>
      </w:pPr>
      <w:r w:rsidRPr="00E7365E">
        <w:rPr>
          <w:b/>
          <w:sz w:val="24"/>
        </w:rPr>
        <w:t>请仔细阅读说明书并在医师指导下使用</w:t>
      </w:r>
    </w:p>
    <w:p w:rsidR="00326C9A" w:rsidRPr="00E7365E" w:rsidRDefault="00326C9A" w:rsidP="00326C9A">
      <w:pPr>
        <w:spacing w:line="380" w:lineRule="exact"/>
        <w:jc w:val="center"/>
        <w:rPr>
          <w:rFonts w:ascii="黑体" w:eastAsia="黑体" w:hAnsi="Abadi MT Condensed Light"/>
          <w:b/>
          <w:sz w:val="24"/>
        </w:rPr>
      </w:pPr>
    </w:p>
    <w:p w:rsidR="00326C9A" w:rsidRPr="00E7365E" w:rsidRDefault="00326C9A" w:rsidP="00326C9A">
      <w:pPr>
        <w:rPr>
          <w:rFonts w:ascii="宋体" w:hAnsi="宋体"/>
          <w:b/>
          <w:bCs/>
          <w:sz w:val="24"/>
        </w:rPr>
      </w:pPr>
      <w:r w:rsidRPr="00E7365E">
        <w:rPr>
          <w:rFonts w:ascii="宋体" w:hAnsi="宋体" w:hint="eastAsia"/>
          <w:b/>
          <w:bCs/>
          <w:sz w:val="24"/>
        </w:rPr>
        <w:t>【药品名称】</w:t>
      </w:r>
    </w:p>
    <w:p w:rsidR="00326C9A" w:rsidRPr="00E7365E" w:rsidRDefault="00326C9A" w:rsidP="00326C9A">
      <w:pPr>
        <w:ind w:firstLineChars="300" w:firstLine="720"/>
        <w:rPr>
          <w:rFonts w:ascii="宋体" w:hAnsi="宋体"/>
          <w:sz w:val="24"/>
        </w:rPr>
      </w:pPr>
      <w:r w:rsidRPr="00E7365E">
        <w:rPr>
          <w:rFonts w:ascii="宋体" w:hAnsi="宋体" w:hint="eastAsia"/>
          <w:sz w:val="24"/>
        </w:rPr>
        <w:t>通用名称：</w:t>
      </w:r>
      <w:r w:rsidRPr="00E7365E">
        <w:rPr>
          <w:rFonts w:ascii="宋体" w:hAnsi="宋体"/>
          <w:sz w:val="24"/>
        </w:rPr>
        <w:t xml:space="preserve"> 马来酸</w:t>
      </w:r>
      <w:proofErr w:type="gramStart"/>
      <w:r w:rsidRPr="00E7365E">
        <w:rPr>
          <w:rFonts w:ascii="宋体" w:hAnsi="宋体"/>
          <w:sz w:val="24"/>
        </w:rPr>
        <w:t>氯苯那敏注射液</w:t>
      </w:r>
      <w:proofErr w:type="gramEnd"/>
    </w:p>
    <w:p w:rsidR="00326C9A" w:rsidRPr="00E7365E" w:rsidRDefault="00326C9A" w:rsidP="00326C9A">
      <w:pPr>
        <w:ind w:firstLineChars="300" w:firstLine="720"/>
        <w:rPr>
          <w:rFonts w:ascii="宋体" w:hAnsi="宋体"/>
          <w:sz w:val="24"/>
        </w:rPr>
      </w:pPr>
      <w:r w:rsidRPr="00E7365E">
        <w:rPr>
          <w:rFonts w:ascii="宋体" w:hAnsi="宋体" w:hint="eastAsia"/>
          <w:sz w:val="24"/>
        </w:rPr>
        <w:t>英文名称：</w:t>
      </w:r>
      <w:r w:rsidRPr="00E7365E">
        <w:rPr>
          <w:rFonts w:ascii="宋体" w:hAnsi="宋体"/>
          <w:sz w:val="24"/>
        </w:rPr>
        <w:t xml:space="preserve"> </w:t>
      </w:r>
      <w:proofErr w:type="spellStart"/>
      <w:r w:rsidRPr="00E7365E">
        <w:rPr>
          <w:rFonts w:ascii="宋体" w:hAnsi="宋体"/>
          <w:sz w:val="24"/>
        </w:rPr>
        <w:t>Chlorphenamine</w:t>
      </w:r>
      <w:proofErr w:type="spellEnd"/>
      <w:r w:rsidRPr="00E7365E">
        <w:rPr>
          <w:rFonts w:ascii="宋体" w:hAnsi="宋体"/>
          <w:sz w:val="24"/>
        </w:rPr>
        <w:t xml:space="preserve"> Maleate Injection </w:t>
      </w:r>
    </w:p>
    <w:p w:rsidR="00326C9A" w:rsidRPr="00E7365E" w:rsidRDefault="00326C9A" w:rsidP="00326C9A">
      <w:pPr>
        <w:ind w:firstLineChars="300" w:firstLine="720"/>
        <w:rPr>
          <w:rFonts w:ascii="宋体" w:hAnsi="宋体"/>
          <w:sz w:val="24"/>
        </w:rPr>
      </w:pPr>
      <w:r w:rsidRPr="00E7365E">
        <w:rPr>
          <w:rFonts w:ascii="宋体" w:hAnsi="宋体" w:hint="eastAsia"/>
          <w:sz w:val="24"/>
        </w:rPr>
        <w:t xml:space="preserve">汉语拼音： </w:t>
      </w:r>
      <w:proofErr w:type="spellStart"/>
      <w:r w:rsidRPr="00E7365E">
        <w:rPr>
          <w:rFonts w:ascii="宋体" w:hAnsi="宋体"/>
          <w:sz w:val="24"/>
        </w:rPr>
        <w:t>Malaisuan</w:t>
      </w:r>
      <w:proofErr w:type="spellEnd"/>
      <w:r w:rsidRPr="00E7365E">
        <w:rPr>
          <w:rFonts w:ascii="宋体" w:hAnsi="宋体"/>
          <w:sz w:val="24"/>
        </w:rPr>
        <w:t xml:space="preserve"> </w:t>
      </w:r>
      <w:proofErr w:type="spellStart"/>
      <w:r w:rsidRPr="00E7365E">
        <w:rPr>
          <w:rFonts w:ascii="宋体" w:hAnsi="宋体"/>
          <w:sz w:val="24"/>
        </w:rPr>
        <w:t>Lübennamin</w:t>
      </w:r>
      <w:proofErr w:type="spellEnd"/>
      <w:r w:rsidRPr="00E7365E">
        <w:rPr>
          <w:rFonts w:ascii="宋体" w:hAnsi="宋体"/>
          <w:sz w:val="24"/>
        </w:rPr>
        <w:t xml:space="preserve"> </w:t>
      </w:r>
      <w:proofErr w:type="spellStart"/>
      <w:r w:rsidRPr="00E7365E">
        <w:rPr>
          <w:rFonts w:ascii="宋体" w:hAnsi="宋体"/>
          <w:sz w:val="24"/>
        </w:rPr>
        <w:t>Zhusheye</w:t>
      </w:r>
      <w:proofErr w:type="spellEnd"/>
    </w:p>
    <w:p w:rsidR="00326C9A" w:rsidRPr="00E7365E" w:rsidRDefault="00326C9A" w:rsidP="00326C9A">
      <w:pPr>
        <w:rPr>
          <w:rFonts w:ascii="宋体" w:hAnsi="宋体"/>
          <w:sz w:val="24"/>
        </w:rPr>
      </w:pPr>
      <w:r w:rsidRPr="00E7365E">
        <w:rPr>
          <w:rFonts w:ascii="宋体" w:hAnsi="宋体" w:hint="eastAsia"/>
          <w:b/>
          <w:bCs/>
          <w:sz w:val="24"/>
        </w:rPr>
        <w:t>【成份】</w:t>
      </w:r>
      <w:r w:rsidRPr="00E7365E">
        <w:rPr>
          <w:rFonts w:ascii="宋体" w:hAnsi="宋体" w:hint="eastAsia"/>
          <w:sz w:val="24"/>
        </w:rPr>
        <w:t>本品主要成份为</w:t>
      </w:r>
      <w:r w:rsidRPr="00E7365E">
        <w:rPr>
          <w:rFonts w:ascii="宋体" w:hAnsi="宋体"/>
          <w:sz w:val="24"/>
        </w:rPr>
        <w:t>马来酸氯苯那敏</w:t>
      </w:r>
      <w:r w:rsidRPr="00E7365E">
        <w:rPr>
          <w:rFonts w:ascii="宋体" w:hAnsi="宋体" w:hint="eastAsia"/>
          <w:sz w:val="24"/>
        </w:rPr>
        <w:t>。</w:t>
      </w:r>
    </w:p>
    <w:p w:rsidR="00326C9A" w:rsidRPr="00E7365E" w:rsidRDefault="00326C9A" w:rsidP="00326C9A">
      <w:pPr>
        <w:ind w:firstLineChars="300" w:firstLine="720"/>
        <w:rPr>
          <w:rFonts w:ascii="宋体" w:hAnsi="宋体"/>
          <w:sz w:val="24"/>
        </w:rPr>
      </w:pPr>
      <w:r w:rsidRPr="00E7365E">
        <w:rPr>
          <w:rFonts w:ascii="宋体" w:hAnsi="宋体" w:hint="eastAsia"/>
          <w:sz w:val="24"/>
        </w:rPr>
        <w:t>化学名称：</w:t>
      </w:r>
      <w:r w:rsidRPr="00E7365E">
        <w:rPr>
          <w:rFonts w:ascii="宋体" w:hAnsi="宋体"/>
          <w:sz w:val="24"/>
        </w:rPr>
        <w:t>N，N-二甲基-γ-（4-氯苯基）-2-吡啶丙胺顺丁烯二酸盐</w:t>
      </w:r>
      <w:r w:rsidRPr="00E7365E">
        <w:rPr>
          <w:rFonts w:ascii="宋体" w:hAnsi="宋体" w:hint="eastAsia"/>
          <w:sz w:val="24"/>
        </w:rPr>
        <w:t>。</w:t>
      </w:r>
    </w:p>
    <w:p w:rsidR="00326C9A" w:rsidRPr="00E7365E" w:rsidRDefault="00326C9A" w:rsidP="00326C9A">
      <w:pPr>
        <w:ind w:firstLineChars="300" w:firstLine="720"/>
        <w:rPr>
          <w:rFonts w:ascii="宋体" w:hAnsi="宋体"/>
          <w:szCs w:val="21"/>
        </w:rPr>
      </w:pPr>
      <w:r w:rsidRPr="00E7365E">
        <w:rPr>
          <w:rFonts w:ascii="宋体" w:hAnsi="宋体" w:hint="eastAsia"/>
          <w:sz w:val="24"/>
        </w:rPr>
        <w:t>化学结构式：</w:t>
      </w:r>
      <w:r w:rsidRPr="00E7365E">
        <w:rPr>
          <w:rFonts w:ascii="宋体" w:hAnsi="宋体" w:hint="eastAsia"/>
          <w:szCs w:val="21"/>
        </w:rPr>
        <w:t xml:space="preserve"> </w:t>
      </w:r>
    </w:p>
    <w:p w:rsidR="00326C9A" w:rsidRPr="00E7365E" w:rsidRDefault="00326C9A" w:rsidP="00326C9A">
      <w:pPr>
        <w:ind w:firstLineChars="248" w:firstLine="595"/>
        <w:rPr>
          <w:rFonts w:ascii="宋体" w:hAnsi="宋体"/>
          <w:sz w:val="24"/>
        </w:rPr>
      </w:pPr>
      <w:r w:rsidRPr="00E7365E">
        <w:rPr>
          <w:rFonts w:ascii="宋体" w:hAnsi="宋体" w:hint="eastAsia"/>
          <w:sz w:val="24"/>
        </w:rPr>
        <w:t xml:space="preserve">                  </w:t>
      </w:r>
      <w:r w:rsidRPr="00E7365E">
        <w:rPr>
          <w:rFonts w:ascii="宋体" w:hAnsi="宋体"/>
          <w:sz w:val="24"/>
        </w:rPr>
        <w:object w:dxaOrig="5809" w:dyaOrig="2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style="width:297pt;height:91.7pt;mso-position-horizontal-relative:page;mso-position-vertical-relative:page" o:ole="">
            <v:imagedata r:id="rId6" o:title=""/>
          </v:shape>
          <o:OLEObject Type="Embed" ProgID="PBrush" ShapeID="对象 1" DrawAspect="Content" ObjectID="_1798271476" r:id="rId7"/>
        </w:object>
      </w:r>
      <w:r w:rsidRPr="00E7365E">
        <w:rPr>
          <w:rFonts w:ascii="宋体" w:hAnsi="宋体" w:hint="eastAsia"/>
          <w:sz w:val="24"/>
        </w:rPr>
        <w:t xml:space="preserve"> </w:t>
      </w:r>
    </w:p>
    <w:p w:rsidR="00326C9A" w:rsidRPr="00E7365E" w:rsidRDefault="00326C9A" w:rsidP="00326C9A">
      <w:pPr>
        <w:ind w:firstLineChars="171" w:firstLine="410"/>
        <w:rPr>
          <w:rFonts w:ascii="宋体" w:hAnsi="宋体"/>
          <w:sz w:val="24"/>
        </w:rPr>
      </w:pPr>
      <w:r w:rsidRPr="00E7365E">
        <w:rPr>
          <w:rFonts w:ascii="宋体" w:hAnsi="宋体" w:hint="eastAsia"/>
          <w:sz w:val="24"/>
        </w:rPr>
        <w:t>分子式：</w:t>
      </w:r>
      <w:r w:rsidRPr="00E7365E">
        <w:rPr>
          <w:rFonts w:ascii="宋体" w:hAnsi="宋体"/>
          <w:sz w:val="24"/>
        </w:rPr>
        <w:t>C</w:t>
      </w:r>
      <w:r w:rsidRPr="00E7365E">
        <w:rPr>
          <w:rFonts w:ascii="宋体" w:hAnsi="宋体"/>
          <w:sz w:val="24"/>
          <w:vertAlign w:val="subscript"/>
        </w:rPr>
        <w:t>16</w:t>
      </w:r>
      <w:r w:rsidRPr="00E7365E">
        <w:rPr>
          <w:rFonts w:ascii="宋体" w:hAnsi="宋体"/>
          <w:sz w:val="24"/>
        </w:rPr>
        <w:t>H</w:t>
      </w:r>
      <w:r w:rsidRPr="00E7365E">
        <w:rPr>
          <w:rFonts w:ascii="宋体" w:hAnsi="宋体"/>
          <w:sz w:val="24"/>
          <w:vertAlign w:val="subscript"/>
        </w:rPr>
        <w:t>19</w:t>
      </w:r>
      <w:r w:rsidRPr="00E7365E">
        <w:rPr>
          <w:rFonts w:ascii="宋体" w:hAnsi="宋体"/>
          <w:sz w:val="24"/>
        </w:rPr>
        <w:t>ClN</w:t>
      </w:r>
      <w:r w:rsidRPr="00E7365E">
        <w:rPr>
          <w:rFonts w:ascii="宋体" w:hAnsi="宋体"/>
          <w:sz w:val="24"/>
          <w:vertAlign w:val="subscript"/>
        </w:rPr>
        <w:t>2</w:t>
      </w:r>
      <w:r w:rsidRPr="00E7365E">
        <w:rPr>
          <w:rFonts w:ascii="宋体" w:hAnsi="宋体"/>
          <w:sz w:val="24"/>
        </w:rPr>
        <w:t>·C</w:t>
      </w:r>
      <w:r w:rsidRPr="00E7365E">
        <w:rPr>
          <w:rFonts w:ascii="宋体" w:hAnsi="宋体"/>
          <w:sz w:val="24"/>
          <w:vertAlign w:val="subscript"/>
        </w:rPr>
        <w:t>4</w:t>
      </w:r>
      <w:r w:rsidRPr="00E7365E">
        <w:rPr>
          <w:rFonts w:ascii="宋体" w:hAnsi="宋体"/>
          <w:sz w:val="24"/>
        </w:rPr>
        <w:t>H</w:t>
      </w:r>
      <w:r w:rsidRPr="00E7365E">
        <w:rPr>
          <w:rFonts w:ascii="宋体" w:hAnsi="宋体"/>
          <w:sz w:val="24"/>
          <w:vertAlign w:val="subscript"/>
        </w:rPr>
        <w:t>4</w:t>
      </w:r>
      <w:r w:rsidRPr="00E7365E">
        <w:rPr>
          <w:rFonts w:ascii="宋体" w:hAnsi="宋体"/>
          <w:sz w:val="24"/>
        </w:rPr>
        <w:t>O</w:t>
      </w:r>
      <w:r w:rsidRPr="00E7365E">
        <w:rPr>
          <w:rFonts w:ascii="宋体" w:hAnsi="宋体"/>
          <w:sz w:val="24"/>
          <w:vertAlign w:val="subscript"/>
        </w:rPr>
        <w:t>4</w:t>
      </w:r>
      <w:r w:rsidRPr="00E7365E">
        <w:rPr>
          <w:rFonts w:ascii="宋体" w:hAnsi="宋体"/>
          <w:sz w:val="24"/>
        </w:rPr>
        <w:t xml:space="preserve"> </w:t>
      </w:r>
    </w:p>
    <w:p w:rsidR="00326C9A" w:rsidRPr="00E7365E" w:rsidRDefault="00326C9A" w:rsidP="00326C9A">
      <w:pPr>
        <w:ind w:firstLineChars="171" w:firstLine="410"/>
        <w:rPr>
          <w:rFonts w:ascii="宋体" w:hAnsi="宋体"/>
          <w:sz w:val="24"/>
        </w:rPr>
      </w:pPr>
      <w:r w:rsidRPr="00E7365E">
        <w:rPr>
          <w:rFonts w:ascii="宋体" w:hAnsi="宋体" w:hint="eastAsia"/>
          <w:sz w:val="24"/>
        </w:rPr>
        <w:t>分子量：</w:t>
      </w:r>
      <w:r w:rsidRPr="00E7365E">
        <w:rPr>
          <w:rFonts w:ascii="宋体" w:hAnsi="宋体"/>
          <w:sz w:val="24"/>
        </w:rPr>
        <w:t>390.87</w:t>
      </w:r>
    </w:p>
    <w:p w:rsidR="00326C9A" w:rsidRPr="00E7365E" w:rsidRDefault="00326C9A" w:rsidP="00326C9A">
      <w:pPr>
        <w:ind w:firstLineChars="171" w:firstLine="410"/>
        <w:rPr>
          <w:rFonts w:ascii="宋体" w:hAnsi="宋体"/>
          <w:sz w:val="24"/>
        </w:rPr>
      </w:pPr>
      <w:r w:rsidRPr="00E7365E">
        <w:rPr>
          <w:rFonts w:ascii="宋体" w:hAnsi="宋体" w:hint="eastAsia"/>
          <w:sz w:val="24"/>
        </w:rPr>
        <w:t>辅料为：注射用水。</w:t>
      </w:r>
    </w:p>
    <w:p w:rsidR="00326C9A" w:rsidRPr="00E7365E" w:rsidRDefault="00326C9A" w:rsidP="00326C9A">
      <w:pPr>
        <w:rPr>
          <w:rFonts w:ascii="宋体" w:hAnsi="宋体"/>
          <w:sz w:val="24"/>
        </w:rPr>
      </w:pPr>
      <w:r w:rsidRPr="00E7365E">
        <w:rPr>
          <w:rFonts w:ascii="宋体" w:hAnsi="宋体" w:hint="eastAsia"/>
          <w:b/>
          <w:bCs/>
          <w:sz w:val="24"/>
        </w:rPr>
        <w:t>【性    状】</w:t>
      </w:r>
      <w:r w:rsidRPr="00E7365E">
        <w:rPr>
          <w:rFonts w:ascii="宋体" w:hAnsi="宋体"/>
          <w:sz w:val="24"/>
        </w:rPr>
        <w:t xml:space="preserve"> 本品为无色的澄明液体。</w:t>
      </w:r>
    </w:p>
    <w:p w:rsidR="00326C9A" w:rsidRPr="00E7365E" w:rsidRDefault="00326C9A" w:rsidP="00326C9A">
      <w:pPr>
        <w:rPr>
          <w:rFonts w:ascii="宋体" w:hAnsi="宋体"/>
          <w:sz w:val="24"/>
        </w:rPr>
      </w:pPr>
      <w:r w:rsidRPr="00E7365E">
        <w:rPr>
          <w:rFonts w:ascii="宋体" w:hAnsi="宋体" w:hint="eastAsia"/>
          <w:b/>
          <w:bCs/>
          <w:sz w:val="24"/>
        </w:rPr>
        <w:t>【适应症】</w:t>
      </w:r>
      <w:r w:rsidRPr="00E7365E">
        <w:rPr>
          <w:rFonts w:ascii="宋体" w:hAnsi="宋体" w:hint="eastAsia"/>
          <w:sz w:val="24"/>
        </w:rPr>
        <w:t>治疗</w:t>
      </w:r>
      <w:r w:rsidRPr="00E7365E">
        <w:rPr>
          <w:rFonts w:ascii="宋体" w:hAnsi="宋体"/>
          <w:sz w:val="24"/>
        </w:rPr>
        <w:t>过敏性鼻炎：对过敏性鼻炎和上呼吸道感染引起的鼻充血有效，可用于感冒或鼻窦炎</w:t>
      </w:r>
      <w:r w:rsidRPr="00E7365E">
        <w:rPr>
          <w:rFonts w:ascii="宋体" w:hAnsi="宋体" w:hint="eastAsia"/>
          <w:sz w:val="24"/>
        </w:rPr>
        <w:t>；</w:t>
      </w:r>
      <w:r w:rsidRPr="00E7365E">
        <w:rPr>
          <w:rFonts w:ascii="宋体" w:hAnsi="宋体"/>
          <w:sz w:val="24"/>
        </w:rPr>
        <w:t>皮肤粘膜的过敏：对荨麻疹、枯草热、血管运动性鼻炎均有效，并能缓解虫咬所致皮肤瘙痒和水肿；也可</w:t>
      </w:r>
      <w:r w:rsidRPr="00E7365E">
        <w:rPr>
          <w:rFonts w:ascii="宋体" w:hAnsi="宋体" w:hint="eastAsia"/>
          <w:sz w:val="24"/>
        </w:rPr>
        <w:t>用于控制药疹和接触性皮炎，但同时必须停用或避免接触致敏药物。当症状急、重时可应用注射液。</w:t>
      </w:r>
    </w:p>
    <w:p w:rsidR="00326C9A" w:rsidRPr="00E7365E" w:rsidRDefault="00326C9A" w:rsidP="00326C9A">
      <w:pPr>
        <w:rPr>
          <w:rFonts w:ascii="宋体" w:hAnsi="宋体"/>
          <w:sz w:val="24"/>
        </w:rPr>
      </w:pPr>
      <w:r w:rsidRPr="00E7365E">
        <w:rPr>
          <w:rFonts w:ascii="宋体" w:hAnsi="宋体" w:hint="eastAsia"/>
          <w:b/>
          <w:bCs/>
          <w:sz w:val="24"/>
        </w:rPr>
        <w:t>【规    格】</w:t>
      </w:r>
      <w:r w:rsidRPr="00E7365E">
        <w:rPr>
          <w:rFonts w:ascii="宋体" w:hAnsi="宋体" w:hint="eastAsia"/>
          <w:sz w:val="24"/>
        </w:rPr>
        <w:t xml:space="preserve"> 2</w:t>
      </w:r>
      <w:r w:rsidRPr="00E7365E">
        <w:rPr>
          <w:rFonts w:ascii="宋体" w:hAnsi="宋体"/>
          <w:sz w:val="24"/>
        </w:rPr>
        <w:t>ml:</w:t>
      </w:r>
      <w:r w:rsidRPr="00E7365E">
        <w:rPr>
          <w:rFonts w:ascii="宋体" w:hAnsi="宋体" w:hint="eastAsia"/>
          <w:sz w:val="24"/>
        </w:rPr>
        <w:t>20</w:t>
      </w:r>
      <w:r w:rsidRPr="00E7365E">
        <w:rPr>
          <w:rFonts w:ascii="宋体" w:hAnsi="宋体"/>
          <w:sz w:val="24"/>
        </w:rPr>
        <w:t>mg</w:t>
      </w:r>
    </w:p>
    <w:p w:rsidR="00326C9A" w:rsidRPr="00E7365E" w:rsidRDefault="00326C9A" w:rsidP="00326C9A">
      <w:pPr>
        <w:rPr>
          <w:rFonts w:ascii="宋体" w:hAnsi="宋体"/>
          <w:sz w:val="24"/>
        </w:rPr>
      </w:pPr>
      <w:r w:rsidRPr="00E7365E">
        <w:rPr>
          <w:rFonts w:ascii="宋体" w:hAnsi="宋体" w:hint="eastAsia"/>
          <w:b/>
          <w:bCs/>
          <w:sz w:val="24"/>
        </w:rPr>
        <w:t>【用法用量】</w:t>
      </w:r>
      <w:r w:rsidRPr="00E7365E">
        <w:rPr>
          <w:rFonts w:ascii="宋体" w:hAnsi="宋体"/>
          <w:sz w:val="24"/>
        </w:rPr>
        <w:t xml:space="preserve"> </w:t>
      </w:r>
      <w:r w:rsidRPr="00E7365E">
        <w:rPr>
          <w:rFonts w:ascii="宋体" w:hAnsi="宋体" w:hint="eastAsia"/>
          <w:sz w:val="24"/>
        </w:rPr>
        <w:t>成人：肌内注射，一次</w:t>
      </w:r>
      <w:r w:rsidRPr="00E7365E">
        <w:rPr>
          <w:rFonts w:ascii="宋体" w:hAnsi="宋体"/>
          <w:sz w:val="24"/>
        </w:rPr>
        <w:t>5 ～ 20mg</w:t>
      </w:r>
      <w:r w:rsidRPr="00E7365E">
        <w:rPr>
          <w:rFonts w:ascii="宋体" w:hAnsi="宋体" w:hint="eastAsia"/>
          <w:sz w:val="24"/>
        </w:rPr>
        <w:t>。</w:t>
      </w:r>
    </w:p>
    <w:p w:rsidR="00326C9A" w:rsidRPr="00E7365E" w:rsidRDefault="00326C9A" w:rsidP="00326C9A">
      <w:pPr>
        <w:rPr>
          <w:rFonts w:ascii="宋体" w:hAnsi="宋体"/>
          <w:sz w:val="24"/>
        </w:rPr>
      </w:pPr>
      <w:r w:rsidRPr="00E7365E">
        <w:rPr>
          <w:rFonts w:ascii="宋体" w:hAnsi="宋体" w:hint="eastAsia"/>
          <w:b/>
          <w:bCs/>
          <w:sz w:val="24"/>
        </w:rPr>
        <w:t>【不良反应</w:t>
      </w:r>
      <w:r w:rsidRPr="00E7365E">
        <w:rPr>
          <w:rFonts w:ascii="宋体" w:hAnsi="宋体" w:hint="eastAsia"/>
          <w:sz w:val="24"/>
        </w:rPr>
        <w:t>】 嗜睡、疲劳、乏力、口鼻咽</w:t>
      </w:r>
      <w:proofErr w:type="gramStart"/>
      <w:r w:rsidRPr="00E7365E">
        <w:rPr>
          <w:rFonts w:ascii="宋体" w:hAnsi="宋体" w:hint="eastAsia"/>
          <w:sz w:val="24"/>
        </w:rPr>
        <w:t>喉</w:t>
      </w:r>
      <w:proofErr w:type="gramEnd"/>
      <w:r w:rsidRPr="00E7365E">
        <w:rPr>
          <w:rFonts w:ascii="宋体" w:hAnsi="宋体" w:hint="eastAsia"/>
          <w:sz w:val="24"/>
        </w:rPr>
        <w:t>干燥、痰液粘稠，可引起注射部位</w:t>
      </w:r>
    </w:p>
    <w:p w:rsidR="00326C9A" w:rsidRPr="00E7365E" w:rsidRDefault="00326C9A" w:rsidP="00326C9A">
      <w:pPr>
        <w:rPr>
          <w:rFonts w:ascii="宋体" w:hAnsi="宋体"/>
          <w:sz w:val="24"/>
        </w:rPr>
      </w:pPr>
      <w:r w:rsidRPr="00E7365E">
        <w:rPr>
          <w:rFonts w:ascii="宋体" w:hAnsi="宋体" w:hint="eastAsia"/>
          <w:sz w:val="24"/>
        </w:rPr>
        <w:t>局部刺激和一过性低血压，少见皮肤瘀斑、出血倾向。</w:t>
      </w:r>
    </w:p>
    <w:p w:rsidR="00326C9A" w:rsidRPr="00E7365E" w:rsidRDefault="00326C9A" w:rsidP="00326C9A">
      <w:pPr>
        <w:rPr>
          <w:rFonts w:ascii="宋体" w:hAnsi="宋体"/>
          <w:sz w:val="24"/>
        </w:rPr>
      </w:pPr>
      <w:r w:rsidRPr="00E7365E">
        <w:rPr>
          <w:rFonts w:ascii="宋体" w:hAnsi="宋体" w:hint="eastAsia"/>
          <w:b/>
          <w:bCs/>
          <w:sz w:val="24"/>
        </w:rPr>
        <w:t>【禁    忌】</w:t>
      </w:r>
      <w:r w:rsidRPr="00E7365E">
        <w:rPr>
          <w:rFonts w:ascii="宋体" w:hAnsi="宋体" w:hint="eastAsia"/>
          <w:bCs/>
          <w:sz w:val="24"/>
        </w:rPr>
        <w:t>尚不明确。</w:t>
      </w:r>
    </w:p>
    <w:p w:rsidR="00326C9A" w:rsidRPr="00E7365E" w:rsidRDefault="00326C9A" w:rsidP="00326C9A">
      <w:pPr>
        <w:rPr>
          <w:rFonts w:ascii="宋体" w:hAnsi="宋体"/>
          <w:spacing w:val="-4"/>
          <w:sz w:val="24"/>
        </w:rPr>
      </w:pPr>
      <w:r w:rsidRPr="00E7365E">
        <w:rPr>
          <w:rFonts w:ascii="宋体" w:hAnsi="宋体" w:hint="eastAsia"/>
          <w:b/>
          <w:bCs/>
          <w:sz w:val="24"/>
        </w:rPr>
        <w:t>【注意事项】</w:t>
      </w:r>
      <w:r w:rsidRPr="00E7365E">
        <w:rPr>
          <w:rFonts w:ascii="宋体" w:hAnsi="宋体"/>
          <w:sz w:val="24"/>
        </w:rPr>
        <w:t xml:space="preserve"> 1.对其他抗组胺药或下列药物过敏者，也可能对本药过敏，如麻黄碱、肾</w:t>
      </w:r>
      <w:r w:rsidRPr="00E7365E">
        <w:rPr>
          <w:rFonts w:ascii="宋体" w:hAnsi="宋体" w:hint="eastAsia"/>
          <w:sz w:val="24"/>
        </w:rPr>
        <w:t>上腺素、异丙肾上腺素、间羟异丙肾上腺素（羟喘）、去甲肾上腺素等拟交感神经药。对碘过敏者对本品可能也过敏。</w:t>
      </w:r>
      <w:r w:rsidRPr="00E7365E">
        <w:rPr>
          <w:rFonts w:ascii="宋体" w:hAnsi="宋体"/>
          <w:sz w:val="24"/>
        </w:rPr>
        <w:t>2.下列情况慎用：膀胱颈部梗阻、幽门十二指肠梗阻、消化性溃疡所致幽门狭窄、心血管疾病、</w:t>
      </w:r>
      <w:r w:rsidRPr="00E7365E">
        <w:rPr>
          <w:rFonts w:ascii="宋体" w:hAnsi="宋体" w:hint="eastAsia"/>
          <w:sz w:val="24"/>
        </w:rPr>
        <w:t>青光眼（或有青光眼倾向者）、高血压、高血压危象、甲状腺机能亢进、前列腺肥大体征明显时。</w:t>
      </w:r>
      <w:r w:rsidRPr="00E7365E">
        <w:rPr>
          <w:rFonts w:ascii="宋体" w:hAnsi="宋体"/>
          <w:sz w:val="24"/>
        </w:rPr>
        <w:t>3.本品不</w:t>
      </w:r>
      <w:r w:rsidRPr="00E7365E">
        <w:rPr>
          <w:rFonts w:ascii="宋体" w:hAnsi="宋体" w:hint="eastAsia"/>
          <w:sz w:val="24"/>
        </w:rPr>
        <w:t>可应用于下呼吸道感染和哮喘发</w:t>
      </w:r>
      <w:r w:rsidRPr="00E7365E">
        <w:rPr>
          <w:rFonts w:ascii="宋体" w:hAnsi="宋体" w:hint="eastAsia"/>
          <w:spacing w:val="-4"/>
          <w:sz w:val="24"/>
        </w:rPr>
        <w:t>作的患者（因可使痰液变稠而加重疾病）。</w:t>
      </w:r>
      <w:r w:rsidRPr="00E7365E">
        <w:rPr>
          <w:rFonts w:ascii="宋体" w:hAnsi="宋体"/>
          <w:spacing w:val="-4"/>
          <w:sz w:val="24"/>
        </w:rPr>
        <w:t>4.用药期间，不得驾驶车、船或</w:t>
      </w:r>
      <w:r w:rsidRPr="00E7365E">
        <w:rPr>
          <w:rFonts w:ascii="宋体" w:hAnsi="宋体" w:hint="eastAsia"/>
          <w:spacing w:val="-4"/>
          <w:sz w:val="24"/>
        </w:rPr>
        <w:t>操作危险的机器。</w:t>
      </w:r>
    </w:p>
    <w:p w:rsidR="00326C9A" w:rsidRPr="00E7365E" w:rsidRDefault="00326C9A" w:rsidP="00326C9A">
      <w:pPr>
        <w:rPr>
          <w:rFonts w:ascii="宋体" w:hAnsi="宋体"/>
          <w:sz w:val="24"/>
        </w:rPr>
      </w:pPr>
      <w:r w:rsidRPr="00E7365E">
        <w:rPr>
          <w:rFonts w:ascii="宋体" w:hAnsi="宋体" w:hint="eastAsia"/>
          <w:b/>
          <w:bCs/>
          <w:sz w:val="24"/>
        </w:rPr>
        <w:t>【孕妇及哺乳期妇女用药】</w:t>
      </w:r>
      <w:r w:rsidRPr="00E7365E">
        <w:rPr>
          <w:rFonts w:ascii="宋体" w:hAnsi="宋体"/>
          <w:sz w:val="24"/>
        </w:rPr>
        <w:t xml:space="preserve"> </w:t>
      </w:r>
      <w:r w:rsidRPr="00E7365E">
        <w:rPr>
          <w:rFonts w:ascii="宋体" w:hAnsi="宋体" w:hint="eastAsia"/>
          <w:sz w:val="24"/>
        </w:rPr>
        <w:t>小量</w:t>
      </w:r>
      <w:proofErr w:type="gramStart"/>
      <w:r w:rsidRPr="00E7365E">
        <w:rPr>
          <w:rFonts w:ascii="宋体" w:hAnsi="宋体" w:hint="eastAsia"/>
          <w:sz w:val="24"/>
        </w:rPr>
        <w:t>氯苯那敏可</w:t>
      </w:r>
      <w:proofErr w:type="gramEnd"/>
      <w:r w:rsidRPr="00E7365E">
        <w:rPr>
          <w:rFonts w:ascii="宋体" w:hAnsi="宋体" w:hint="eastAsia"/>
          <w:sz w:val="24"/>
        </w:rPr>
        <w:t>由乳汁中排出；由于本品的抗</w:t>
      </w:r>
      <w:r w:rsidRPr="00E7365E">
        <w:rPr>
          <w:rFonts w:ascii="宋体" w:hAnsi="宋体"/>
          <w:sz w:val="24"/>
        </w:rPr>
        <w:t>M胆碱受体作用，</w:t>
      </w:r>
      <w:proofErr w:type="gramStart"/>
      <w:r w:rsidRPr="00E7365E">
        <w:rPr>
          <w:rFonts w:ascii="宋体" w:hAnsi="宋体"/>
          <w:sz w:val="24"/>
        </w:rPr>
        <w:t>泌乳</w:t>
      </w:r>
      <w:r w:rsidRPr="00E7365E">
        <w:rPr>
          <w:rFonts w:ascii="宋体" w:hAnsi="宋体" w:hint="eastAsia"/>
          <w:sz w:val="24"/>
        </w:rPr>
        <w:t>可能</w:t>
      </w:r>
      <w:proofErr w:type="gramEnd"/>
      <w:r w:rsidRPr="00E7365E">
        <w:rPr>
          <w:rFonts w:ascii="宋体" w:hAnsi="宋体" w:hint="eastAsia"/>
          <w:sz w:val="24"/>
        </w:rPr>
        <w:t>受到抑制，哺乳期妇女不宜使用。</w:t>
      </w:r>
    </w:p>
    <w:p w:rsidR="00326C9A" w:rsidRPr="00E7365E" w:rsidRDefault="00326C9A" w:rsidP="00326C9A">
      <w:pPr>
        <w:rPr>
          <w:rFonts w:ascii="宋体" w:hAnsi="宋体"/>
          <w:sz w:val="24"/>
        </w:rPr>
      </w:pPr>
      <w:r w:rsidRPr="00E7365E">
        <w:rPr>
          <w:rFonts w:ascii="宋体" w:hAnsi="宋体" w:hint="eastAsia"/>
          <w:b/>
          <w:bCs/>
          <w:sz w:val="24"/>
        </w:rPr>
        <w:t>【儿童用药】</w:t>
      </w:r>
      <w:r w:rsidRPr="00E7365E">
        <w:rPr>
          <w:rFonts w:ascii="宋体" w:hAnsi="宋体"/>
          <w:sz w:val="24"/>
        </w:rPr>
        <w:t xml:space="preserve"> </w:t>
      </w:r>
      <w:r w:rsidRPr="00E7365E">
        <w:rPr>
          <w:rFonts w:ascii="宋体" w:hAnsi="宋体" w:hint="eastAsia"/>
          <w:sz w:val="24"/>
        </w:rPr>
        <w:t>新生儿、早产儿不宜用。</w:t>
      </w:r>
    </w:p>
    <w:p w:rsidR="00326C9A" w:rsidRPr="00E7365E" w:rsidRDefault="00326C9A" w:rsidP="00326C9A">
      <w:pPr>
        <w:rPr>
          <w:rFonts w:ascii="宋体" w:hAnsi="宋体"/>
          <w:sz w:val="24"/>
        </w:rPr>
      </w:pPr>
      <w:r w:rsidRPr="00E7365E">
        <w:rPr>
          <w:rFonts w:ascii="宋体" w:hAnsi="宋体" w:hint="eastAsia"/>
          <w:b/>
          <w:bCs/>
          <w:sz w:val="24"/>
        </w:rPr>
        <w:t>【老年用药】</w:t>
      </w:r>
      <w:r w:rsidRPr="00E7365E">
        <w:rPr>
          <w:rFonts w:ascii="宋体" w:hAnsi="宋体"/>
          <w:sz w:val="24"/>
        </w:rPr>
        <w:t xml:space="preserve"> 老年人对常用剂量的反应较敏感，应注意适当减量。</w:t>
      </w:r>
    </w:p>
    <w:p w:rsidR="00326C9A" w:rsidRPr="00E7365E" w:rsidRDefault="00326C9A" w:rsidP="00326C9A">
      <w:pPr>
        <w:rPr>
          <w:rFonts w:ascii="宋体" w:hAnsi="宋体"/>
          <w:spacing w:val="-8"/>
          <w:sz w:val="24"/>
        </w:rPr>
      </w:pPr>
      <w:r w:rsidRPr="00E7365E">
        <w:rPr>
          <w:rFonts w:ascii="宋体" w:hAnsi="宋体" w:hint="eastAsia"/>
          <w:b/>
          <w:bCs/>
          <w:sz w:val="24"/>
        </w:rPr>
        <w:lastRenderedPageBreak/>
        <w:t>【药物相互作用】</w:t>
      </w:r>
      <w:r w:rsidRPr="00E7365E">
        <w:rPr>
          <w:rFonts w:ascii="宋体" w:hAnsi="宋体"/>
          <w:sz w:val="24"/>
        </w:rPr>
        <w:t xml:space="preserve"> 1.同时饮酒或服用中枢神经抑制药，可使抗组胺药</w:t>
      </w:r>
      <w:proofErr w:type="gramStart"/>
      <w:r w:rsidRPr="00E7365E">
        <w:rPr>
          <w:rFonts w:ascii="宋体" w:hAnsi="宋体"/>
          <w:sz w:val="24"/>
        </w:rPr>
        <w:t>效</w:t>
      </w:r>
      <w:proofErr w:type="gramEnd"/>
      <w:r w:rsidRPr="00E7365E">
        <w:rPr>
          <w:rFonts w:ascii="宋体" w:hAnsi="宋体"/>
          <w:sz w:val="24"/>
        </w:rPr>
        <w:t>增强。2.本品可增强金刚烷</w:t>
      </w:r>
      <w:r w:rsidRPr="00E7365E">
        <w:rPr>
          <w:rFonts w:ascii="宋体" w:hAnsi="宋体" w:hint="eastAsia"/>
          <w:sz w:val="24"/>
        </w:rPr>
        <w:t>胺、抗胆碱药、氟哌啶醇、</w:t>
      </w:r>
      <w:proofErr w:type="gramStart"/>
      <w:r w:rsidRPr="00E7365E">
        <w:rPr>
          <w:rFonts w:ascii="宋体" w:hAnsi="宋体" w:hint="eastAsia"/>
          <w:sz w:val="24"/>
        </w:rPr>
        <w:t>吩噻嗪</w:t>
      </w:r>
      <w:proofErr w:type="gramEnd"/>
      <w:r w:rsidRPr="00E7365E">
        <w:rPr>
          <w:rFonts w:ascii="宋体" w:hAnsi="宋体" w:hint="eastAsia"/>
          <w:sz w:val="24"/>
        </w:rPr>
        <w:t>类以及拟交感神经等药的作用。</w:t>
      </w:r>
      <w:r w:rsidRPr="00E7365E">
        <w:rPr>
          <w:rFonts w:ascii="宋体" w:hAnsi="宋体"/>
          <w:sz w:val="24"/>
        </w:rPr>
        <w:t>3.</w:t>
      </w:r>
      <w:proofErr w:type="gramStart"/>
      <w:r w:rsidRPr="00E7365E">
        <w:rPr>
          <w:rFonts w:ascii="宋体" w:hAnsi="宋体"/>
          <w:sz w:val="24"/>
        </w:rPr>
        <w:t>奎尼丁</w:t>
      </w:r>
      <w:proofErr w:type="gramEnd"/>
      <w:r w:rsidRPr="00E7365E">
        <w:rPr>
          <w:rFonts w:ascii="宋体" w:hAnsi="宋体"/>
          <w:spacing w:val="-8"/>
          <w:sz w:val="24"/>
        </w:rPr>
        <w:t>和本品同用，其类似阿托品样的</w:t>
      </w:r>
      <w:r w:rsidRPr="00E7365E">
        <w:rPr>
          <w:rFonts w:ascii="宋体" w:hAnsi="宋体" w:hint="eastAsia"/>
          <w:spacing w:val="-8"/>
          <w:sz w:val="24"/>
        </w:rPr>
        <w:t>效应加剧。</w:t>
      </w:r>
      <w:r w:rsidRPr="00E7365E">
        <w:rPr>
          <w:rFonts w:ascii="宋体" w:hAnsi="宋体"/>
          <w:spacing w:val="-8"/>
          <w:sz w:val="24"/>
        </w:rPr>
        <w:t>4.本品和三环类抗抑郁药物同用时，可使后者增效。</w:t>
      </w:r>
    </w:p>
    <w:p w:rsidR="00326C9A" w:rsidRPr="00E7365E" w:rsidRDefault="00326C9A" w:rsidP="00326C9A">
      <w:pPr>
        <w:rPr>
          <w:rFonts w:ascii="宋体" w:hAnsi="宋体"/>
          <w:sz w:val="24"/>
        </w:rPr>
      </w:pPr>
      <w:r w:rsidRPr="00E7365E">
        <w:rPr>
          <w:rFonts w:ascii="宋体" w:hAnsi="宋体" w:hint="eastAsia"/>
          <w:b/>
          <w:bCs/>
          <w:sz w:val="24"/>
        </w:rPr>
        <w:t>【药物过量】</w:t>
      </w:r>
      <w:r w:rsidRPr="00E7365E">
        <w:rPr>
          <w:rFonts w:ascii="宋体" w:hAnsi="宋体"/>
          <w:b/>
          <w:bCs/>
          <w:sz w:val="24"/>
        </w:rPr>
        <w:t xml:space="preserve"> </w:t>
      </w:r>
      <w:r w:rsidRPr="00E7365E">
        <w:rPr>
          <w:rFonts w:ascii="宋体" w:hAnsi="宋体" w:hint="eastAsia"/>
          <w:sz w:val="24"/>
        </w:rPr>
        <w:t>可致排尿困难或排尿痛、头晕、头痛、口腔</w:t>
      </w:r>
      <w:proofErr w:type="gramStart"/>
      <w:r w:rsidRPr="00E7365E">
        <w:rPr>
          <w:rFonts w:ascii="宋体" w:hAnsi="宋体" w:hint="eastAsia"/>
          <w:sz w:val="24"/>
        </w:rPr>
        <w:t>鼻</w:t>
      </w:r>
      <w:proofErr w:type="gramEnd"/>
      <w:r w:rsidRPr="00E7365E">
        <w:rPr>
          <w:rFonts w:ascii="宋体" w:hAnsi="宋体" w:hint="eastAsia"/>
          <w:sz w:val="24"/>
        </w:rPr>
        <w:t>喉部干燥、恶心、腹痛、皮疹；儿童易发生</w:t>
      </w:r>
      <w:proofErr w:type="gramStart"/>
      <w:r w:rsidRPr="00E7365E">
        <w:rPr>
          <w:rFonts w:ascii="宋体" w:hAnsi="宋体" w:hint="eastAsia"/>
          <w:sz w:val="24"/>
        </w:rPr>
        <w:t>烦燥</w:t>
      </w:r>
      <w:proofErr w:type="gramEnd"/>
      <w:r w:rsidRPr="00E7365E">
        <w:rPr>
          <w:rFonts w:ascii="宋体" w:hAnsi="宋体" w:hint="eastAsia"/>
          <w:sz w:val="24"/>
        </w:rPr>
        <w:t>、焦虑、入睡困难和神经过敏。</w:t>
      </w:r>
    </w:p>
    <w:p w:rsidR="00326C9A" w:rsidRPr="00E7365E" w:rsidRDefault="00326C9A" w:rsidP="00326C9A">
      <w:pPr>
        <w:rPr>
          <w:rFonts w:ascii="宋体" w:hAnsi="宋体"/>
          <w:spacing w:val="-4"/>
          <w:sz w:val="24"/>
        </w:rPr>
      </w:pPr>
      <w:r w:rsidRPr="00E7365E">
        <w:rPr>
          <w:rFonts w:ascii="宋体" w:hAnsi="宋体" w:hint="eastAsia"/>
          <w:b/>
          <w:bCs/>
          <w:sz w:val="24"/>
        </w:rPr>
        <w:t>【药理毒理】</w:t>
      </w:r>
      <w:r w:rsidRPr="00E7365E">
        <w:rPr>
          <w:rFonts w:ascii="宋体" w:hAnsi="宋体"/>
          <w:sz w:val="24"/>
        </w:rPr>
        <w:t xml:space="preserve"> 1.抗组胺作用：通过拮抗H</w:t>
      </w:r>
      <w:r w:rsidRPr="00E7365E">
        <w:rPr>
          <w:rFonts w:ascii="宋体" w:hAnsi="宋体"/>
          <w:sz w:val="24"/>
          <w:vertAlign w:val="subscript"/>
        </w:rPr>
        <w:t>1</w:t>
      </w:r>
      <w:r w:rsidRPr="00E7365E">
        <w:rPr>
          <w:rFonts w:ascii="宋体" w:hAnsi="宋体"/>
          <w:sz w:val="24"/>
        </w:rPr>
        <w:t>受体而对抗组胺的过敏效应；本品不影响</w:t>
      </w:r>
      <w:r w:rsidRPr="00E7365E">
        <w:rPr>
          <w:rFonts w:ascii="宋体" w:hAnsi="宋体"/>
          <w:spacing w:val="-4"/>
          <w:sz w:val="24"/>
        </w:rPr>
        <w:t>组胺的代谢，也</w:t>
      </w:r>
      <w:r w:rsidRPr="00E7365E">
        <w:rPr>
          <w:rFonts w:ascii="宋体" w:hAnsi="宋体" w:hint="eastAsia"/>
          <w:spacing w:val="-4"/>
          <w:sz w:val="24"/>
        </w:rPr>
        <w:t>不阻止体内组胺的释放。</w:t>
      </w:r>
      <w:r w:rsidRPr="00E7365E">
        <w:rPr>
          <w:rFonts w:ascii="宋体" w:hAnsi="宋体"/>
          <w:spacing w:val="-4"/>
          <w:sz w:val="24"/>
        </w:rPr>
        <w:t>2.</w:t>
      </w:r>
      <w:r w:rsidRPr="00E7365E">
        <w:rPr>
          <w:rFonts w:ascii="宋体" w:hAnsi="宋体" w:hint="eastAsia"/>
          <w:spacing w:val="-4"/>
          <w:sz w:val="24"/>
        </w:rPr>
        <w:t>有</w:t>
      </w:r>
      <w:r w:rsidRPr="00E7365E">
        <w:rPr>
          <w:rFonts w:ascii="宋体" w:hAnsi="宋体"/>
          <w:spacing w:val="-4"/>
          <w:sz w:val="24"/>
        </w:rPr>
        <w:t>抗M胆碱受体作用。3.本品具有</w:t>
      </w:r>
      <w:r w:rsidRPr="00E7365E">
        <w:rPr>
          <w:rFonts w:ascii="宋体" w:hAnsi="宋体" w:hint="eastAsia"/>
          <w:spacing w:val="-4"/>
          <w:sz w:val="24"/>
        </w:rPr>
        <w:t>中枢抑制</w:t>
      </w:r>
      <w:r w:rsidRPr="00E7365E">
        <w:rPr>
          <w:rFonts w:ascii="宋体" w:hAnsi="宋体"/>
          <w:spacing w:val="-4"/>
          <w:sz w:val="24"/>
        </w:rPr>
        <w:t>作用。</w:t>
      </w:r>
    </w:p>
    <w:p w:rsidR="00326C9A" w:rsidRPr="00E7365E" w:rsidRDefault="00326C9A" w:rsidP="00326C9A">
      <w:pPr>
        <w:rPr>
          <w:rFonts w:ascii="宋体" w:hAnsi="宋体"/>
          <w:sz w:val="24"/>
        </w:rPr>
      </w:pPr>
      <w:r w:rsidRPr="00E7365E">
        <w:rPr>
          <w:rFonts w:ascii="宋体" w:hAnsi="宋体" w:hint="eastAsia"/>
          <w:b/>
          <w:bCs/>
          <w:sz w:val="24"/>
        </w:rPr>
        <w:t>【药代动力学】</w:t>
      </w:r>
      <w:r w:rsidRPr="00E7365E">
        <w:rPr>
          <w:rFonts w:ascii="宋体" w:hAnsi="宋体"/>
          <w:b/>
          <w:bCs/>
          <w:sz w:val="24"/>
        </w:rPr>
        <w:t xml:space="preserve"> </w:t>
      </w:r>
      <w:r w:rsidRPr="00E7365E">
        <w:rPr>
          <w:rFonts w:ascii="宋体" w:hAnsi="宋体" w:hint="eastAsia"/>
          <w:sz w:val="24"/>
        </w:rPr>
        <w:t>肌注后</w:t>
      </w:r>
      <w:r w:rsidRPr="00E7365E">
        <w:rPr>
          <w:rFonts w:ascii="宋体" w:hAnsi="宋体"/>
          <w:sz w:val="24"/>
        </w:rPr>
        <w:t>5 ～ 10分</w:t>
      </w:r>
      <w:r w:rsidRPr="00E7365E">
        <w:rPr>
          <w:rFonts w:ascii="宋体" w:hAnsi="宋体" w:hint="eastAsia"/>
          <w:sz w:val="24"/>
        </w:rPr>
        <w:t>钟</w:t>
      </w:r>
      <w:r w:rsidRPr="00E7365E">
        <w:rPr>
          <w:rFonts w:ascii="宋体" w:hAnsi="宋体"/>
          <w:sz w:val="24"/>
        </w:rPr>
        <w:t>起效。血浆蛋白结合率约72%。T</w:t>
      </w:r>
      <w:r w:rsidRPr="00E7365E">
        <w:rPr>
          <w:rFonts w:ascii="宋体" w:hAnsi="宋体"/>
          <w:sz w:val="24"/>
          <w:vertAlign w:val="subscript"/>
        </w:rPr>
        <w:t>1/2</w:t>
      </w:r>
      <w:r w:rsidRPr="00E7365E">
        <w:rPr>
          <w:rFonts w:ascii="宋体" w:hAnsi="宋体"/>
          <w:sz w:val="24"/>
        </w:rPr>
        <w:t>为12 ～ 15小时，主要经肝</w:t>
      </w:r>
      <w:r w:rsidRPr="00E7365E">
        <w:rPr>
          <w:rFonts w:ascii="宋体" w:hAnsi="宋体" w:hint="eastAsia"/>
          <w:sz w:val="24"/>
        </w:rPr>
        <w:t>代谢，中间代谢产物无药理活性。代谢产物和</w:t>
      </w:r>
      <w:proofErr w:type="gramStart"/>
      <w:r w:rsidRPr="00E7365E">
        <w:rPr>
          <w:rFonts w:ascii="宋体" w:hAnsi="宋体" w:hint="eastAsia"/>
          <w:sz w:val="24"/>
        </w:rPr>
        <w:t>未代</w:t>
      </w:r>
      <w:proofErr w:type="gramEnd"/>
      <w:r w:rsidRPr="00E7365E">
        <w:rPr>
          <w:rFonts w:ascii="宋体" w:hAnsi="宋体" w:hint="eastAsia"/>
          <w:sz w:val="24"/>
        </w:rPr>
        <w:t>谢的药物主要经肾排出。</w:t>
      </w:r>
    </w:p>
    <w:p w:rsidR="00326C9A" w:rsidRPr="00E7365E" w:rsidRDefault="00326C9A" w:rsidP="00326C9A">
      <w:pPr>
        <w:rPr>
          <w:rFonts w:ascii="宋体" w:hAnsi="宋体"/>
          <w:sz w:val="24"/>
        </w:rPr>
      </w:pPr>
      <w:r w:rsidRPr="00E7365E">
        <w:rPr>
          <w:rFonts w:ascii="宋体" w:hAnsi="宋体" w:hint="eastAsia"/>
          <w:b/>
          <w:bCs/>
          <w:sz w:val="24"/>
        </w:rPr>
        <w:t>【贮    藏】</w:t>
      </w:r>
      <w:r w:rsidRPr="00E7365E">
        <w:rPr>
          <w:rFonts w:ascii="宋体" w:hAnsi="宋体" w:hint="eastAsia"/>
          <w:sz w:val="24"/>
        </w:rPr>
        <w:t>遮光，密闭保存。</w:t>
      </w:r>
    </w:p>
    <w:p w:rsidR="00326C9A" w:rsidRPr="00E7365E" w:rsidRDefault="00326C9A" w:rsidP="00326C9A">
      <w:pPr>
        <w:rPr>
          <w:rFonts w:ascii="宋体" w:hAnsi="宋体"/>
          <w:sz w:val="24"/>
        </w:rPr>
      </w:pPr>
      <w:r w:rsidRPr="00E7365E">
        <w:rPr>
          <w:rFonts w:ascii="宋体" w:hAnsi="宋体" w:hint="eastAsia"/>
          <w:b/>
          <w:bCs/>
          <w:sz w:val="24"/>
        </w:rPr>
        <w:t>【包    装】</w:t>
      </w:r>
      <w:proofErr w:type="gramStart"/>
      <w:r w:rsidRPr="00E7365E">
        <w:rPr>
          <w:rFonts w:hAnsi="宋体" w:hint="eastAsia"/>
          <w:sz w:val="24"/>
        </w:rPr>
        <w:t>低硼硅玻璃</w:t>
      </w:r>
      <w:proofErr w:type="gramEnd"/>
      <w:r w:rsidRPr="00E7365E">
        <w:rPr>
          <w:rFonts w:hAnsi="宋体" w:hint="eastAsia"/>
          <w:sz w:val="24"/>
        </w:rPr>
        <w:t>安瓿，</w:t>
      </w:r>
      <w:r w:rsidRPr="00E7365E">
        <w:rPr>
          <w:rFonts w:hAnsi="宋体" w:hint="eastAsia"/>
          <w:sz w:val="24"/>
        </w:rPr>
        <w:t>10</w:t>
      </w:r>
      <w:r w:rsidRPr="00E7365E">
        <w:rPr>
          <w:rFonts w:hAnsi="宋体" w:hint="eastAsia"/>
          <w:sz w:val="24"/>
        </w:rPr>
        <w:t>支</w:t>
      </w:r>
      <w:r w:rsidRPr="00E7365E">
        <w:rPr>
          <w:rFonts w:hAnsi="宋体" w:hint="eastAsia"/>
          <w:sz w:val="24"/>
        </w:rPr>
        <w:t>/</w:t>
      </w:r>
      <w:r w:rsidRPr="00E7365E">
        <w:rPr>
          <w:rFonts w:hAnsi="宋体" w:hint="eastAsia"/>
          <w:sz w:val="24"/>
        </w:rPr>
        <w:t>盒</w:t>
      </w:r>
      <w:r w:rsidRPr="00E7365E">
        <w:rPr>
          <w:rFonts w:hAnsi="宋体" w:hint="eastAsia"/>
          <w:bCs/>
          <w:sz w:val="24"/>
        </w:rPr>
        <w:t>。</w:t>
      </w:r>
    </w:p>
    <w:p w:rsidR="00326C9A" w:rsidRPr="00E7365E" w:rsidRDefault="00326C9A" w:rsidP="00326C9A">
      <w:pPr>
        <w:rPr>
          <w:rFonts w:ascii="宋体" w:hAnsi="宋体"/>
          <w:sz w:val="24"/>
        </w:rPr>
      </w:pPr>
      <w:r w:rsidRPr="00E7365E">
        <w:rPr>
          <w:rFonts w:ascii="宋体" w:hAnsi="宋体" w:hint="eastAsia"/>
          <w:b/>
          <w:bCs/>
          <w:sz w:val="24"/>
        </w:rPr>
        <w:t>【有 效 期】</w:t>
      </w:r>
      <w:r w:rsidRPr="00E7365E">
        <w:rPr>
          <w:rFonts w:ascii="宋体" w:hAnsi="宋体" w:hint="eastAsia"/>
          <w:sz w:val="24"/>
        </w:rPr>
        <w:t>36个月。</w:t>
      </w:r>
    </w:p>
    <w:p w:rsidR="00326C9A" w:rsidRPr="00E7365E" w:rsidRDefault="00326C9A" w:rsidP="00326C9A">
      <w:pPr>
        <w:spacing w:line="280" w:lineRule="exact"/>
        <w:ind w:left="120" w:hangingChars="50" w:hanging="120"/>
        <w:rPr>
          <w:rFonts w:hAnsi="宋体"/>
          <w:sz w:val="24"/>
        </w:rPr>
      </w:pPr>
      <w:r w:rsidRPr="00E7365E">
        <w:rPr>
          <w:sz w:val="24"/>
        </w:rPr>
        <w:t>【</w:t>
      </w:r>
      <w:r w:rsidRPr="00E7365E">
        <w:rPr>
          <w:rFonts w:hint="eastAsia"/>
          <w:b/>
          <w:bCs/>
          <w:sz w:val="24"/>
        </w:rPr>
        <w:t>执行标准</w:t>
      </w:r>
      <w:r w:rsidRPr="00E7365E">
        <w:rPr>
          <w:sz w:val="24"/>
        </w:rPr>
        <w:t>】</w:t>
      </w:r>
      <w:r w:rsidRPr="00E7365E">
        <w:rPr>
          <w:rFonts w:hAnsi="宋体" w:hint="eastAsia"/>
          <w:sz w:val="24"/>
        </w:rPr>
        <w:t>中国药典</w:t>
      </w:r>
      <w:r w:rsidRPr="00E7365E">
        <w:rPr>
          <w:rFonts w:hAnsi="宋体" w:hint="eastAsia"/>
          <w:sz w:val="24"/>
        </w:rPr>
        <w:t>2020</w:t>
      </w:r>
      <w:r w:rsidRPr="00E7365E">
        <w:rPr>
          <w:rFonts w:hAnsi="宋体" w:hint="eastAsia"/>
          <w:sz w:val="24"/>
        </w:rPr>
        <w:t>年版二部。</w:t>
      </w:r>
    </w:p>
    <w:p w:rsidR="00326C9A" w:rsidRPr="00E7365E" w:rsidRDefault="00326C9A" w:rsidP="00326C9A">
      <w:pPr>
        <w:rPr>
          <w:rFonts w:ascii="宋体" w:hAnsi="宋体"/>
          <w:bCs/>
          <w:sz w:val="24"/>
        </w:rPr>
      </w:pPr>
      <w:r w:rsidRPr="00E7365E">
        <w:rPr>
          <w:rFonts w:ascii="宋体" w:hAnsi="宋体" w:hint="eastAsia"/>
          <w:b/>
          <w:bCs/>
          <w:sz w:val="24"/>
        </w:rPr>
        <w:t>【批准文号】</w:t>
      </w:r>
      <w:r w:rsidRPr="00E7365E">
        <w:rPr>
          <w:rFonts w:ascii="宋体" w:hAnsi="宋体" w:hint="eastAsia"/>
          <w:bCs/>
          <w:sz w:val="24"/>
        </w:rPr>
        <w:t>国药准字H41025479</w:t>
      </w:r>
    </w:p>
    <w:p w:rsidR="00326C9A" w:rsidRPr="00E7365E" w:rsidRDefault="00326C9A" w:rsidP="00326C9A">
      <w:pPr>
        <w:outlineLvl w:val="0"/>
        <w:rPr>
          <w:rFonts w:ascii="宋体" w:hAnsi="宋体"/>
          <w:sz w:val="24"/>
        </w:rPr>
      </w:pPr>
      <w:r w:rsidRPr="00E7365E">
        <w:rPr>
          <w:rFonts w:ascii="宋体" w:hAnsi="宋体" w:hint="eastAsia"/>
          <w:sz w:val="24"/>
        </w:rPr>
        <w:t>【</w:t>
      </w:r>
      <w:r w:rsidRPr="00E7365E">
        <w:rPr>
          <w:rFonts w:ascii="宋体" w:hAnsi="宋体" w:hint="eastAsia"/>
          <w:b/>
          <w:sz w:val="24"/>
        </w:rPr>
        <w:t>上市许可持有人</w:t>
      </w:r>
      <w:r w:rsidRPr="00E7365E">
        <w:rPr>
          <w:rFonts w:ascii="宋体" w:hAnsi="宋体" w:hint="eastAsia"/>
          <w:sz w:val="24"/>
        </w:rPr>
        <w:t>】海南制药厂有限公司制药二厂</w:t>
      </w:r>
    </w:p>
    <w:p w:rsidR="00326C9A" w:rsidRPr="00E7365E" w:rsidRDefault="00326C9A" w:rsidP="00326C9A">
      <w:pPr>
        <w:outlineLvl w:val="0"/>
        <w:rPr>
          <w:rFonts w:ascii="宋体" w:hAnsi="宋体"/>
          <w:sz w:val="24"/>
        </w:rPr>
      </w:pPr>
      <w:r w:rsidRPr="00E7365E">
        <w:rPr>
          <w:rFonts w:ascii="宋体" w:hAnsi="宋体" w:hint="eastAsia"/>
          <w:sz w:val="24"/>
        </w:rPr>
        <w:t>【</w:t>
      </w:r>
      <w:r w:rsidRPr="00E7365E">
        <w:rPr>
          <w:rFonts w:ascii="宋体" w:hAnsi="宋体" w:hint="eastAsia"/>
          <w:b/>
          <w:sz w:val="24"/>
        </w:rPr>
        <w:t>地    址</w:t>
      </w:r>
      <w:r w:rsidRPr="00E7365E">
        <w:rPr>
          <w:rFonts w:ascii="宋体" w:hAnsi="宋体" w:hint="eastAsia"/>
          <w:sz w:val="24"/>
        </w:rPr>
        <w:t>】林州市</w:t>
      </w:r>
      <w:proofErr w:type="gramStart"/>
      <w:r w:rsidRPr="00E7365E">
        <w:rPr>
          <w:rFonts w:ascii="宋体" w:hAnsi="宋体" w:hint="eastAsia"/>
          <w:sz w:val="24"/>
        </w:rPr>
        <w:t>史家河</w:t>
      </w:r>
      <w:proofErr w:type="gramEnd"/>
      <w:r w:rsidRPr="00E7365E">
        <w:rPr>
          <w:rFonts w:ascii="宋体" w:hAnsi="宋体" w:hint="eastAsia"/>
          <w:sz w:val="24"/>
        </w:rPr>
        <w:t>工业园区</w:t>
      </w:r>
    </w:p>
    <w:p w:rsidR="00326C9A" w:rsidRPr="00E7365E" w:rsidRDefault="00326C9A" w:rsidP="00326C9A">
      <w:pPr>
        <w:pStyle w:val="a3"/>
        <w:spacing w:line="320" w:lineRule="exact"/>
        <w:rPr>
          <w:rFonts w:ascii="Times New Roman" w:hAnsi="Times New Roman"/>
          <w:sz w:val="24"/>
          <w:szCs w:val="24"/>
        </w:rPr>
      </w:pPr>
      <w:r w:rsidRPr="00E7365E">
        <w:rPr>
          <w:rFonts w:ascii="Times New Roman" w:hAnsi="Times New Roman"/>
          <w:sz w:val="24"/>
          <w:szCs w:val="24"/>
        </w:rPr>
        <w:t>【</w:t>
      </w:r>
      <w:r w:rsidRPr="00E7365E">
        <w:rPr>
          <w:rFonts w:ascii="Times New Roman" w:hAnsi="Times New Roman"/>
          <w:b/>
          <w:bCs/>
          <w:sz w:val="24"/>
          <w:szCs w:val="24"/>
        </w:rPr>
        <w:t>生产企业</w:t>
      </w:r>
      <w:r w:rsidRPr="00E7365E">
        <w:rPr>
          <w:rFonts w:ascii="Times New Roman" w:hAnsi="Times New Roman"/>
          <w:sz w:val="24"/>
          <w:szCs w:val="24"/>
        </w:rPr>
        <w:t>】</w:t>
      </w:r>
    </w:p>
    <w:p w:rsidR="00326C9A" w:rsidRPr="00E7365E" w:rsidRDefault="00326C9A" w:rsidP="00326C9A">
      <w:pPr>
        <w:spacing w:line="280" w:lineRule="exact"/>
        <w:ind w:firstLineChars="300" w:firstLine="720"/>
        <w:rPr>
          <w:rFonts w:ascii="宋体" w:hAnsi="宋体"/>
          <w:sz w:val="24"/>
        </w:rPr>
      </w:pPr>
      <w:r w:rsidRPr="00E7365E">
        <w:rPr>
          <w:rFonts w:ascii="宋体" w:hAnsi="宋体" w:hint="eastAsia"/>
          <w:sz w:val="24"/>
        </w:rPr>
        <w:t>企业名称：海南制药厂有限公司制药二厂</w:t>
      </w:r>
    </w:p>
    <w:p w:rsidR="00326C9A" w:rsidRPr="00E7365E" w:rsidRDefault="00326C9A" w:rsidP="00326C9A">
      <w:pPr>
        <w:spacing w:line="280" w:lineRule="exact"/>
        <w:ind w:firstLineChars="300" w:firstLine="720"/>
        <w:rPr>
          <w:rFonts w:ascii="宋体" w:hAnsi="宋体"/>
          <w:sz w:val="24"/>
        </w:rPr>
      </w:pPr>
      <w:r w:rsidRPr="00E7365E">
        <w:rPr>
          <w:rFonts w:ascii="宋体" w:hAnsi="宋体" w:hint="eastAsia"/>
          <w:sz w:val="24"/>
        </w:rPr>
        <w:t>生产地址：林州市</w:t>
      </w:r>
      <w:proofErr w:type="gramStart"/>
      <w:r w:rsidRPr="00E7365E">
        <w:rPr>
          <w:rFonts w:ascii="宋体" w:hAnsi="宋体" w:hint="eastAsia"/>
          <w:sz w:val="24"/>
        </w:rPr>
        <w:t>史家河</w:t>
      </w:r>
      <w:proofErr w:type="gramEnd"/>
      <w:r w:rsidRPr="00E7365E">
        <w:rPr>
          <w:rFonts w:ascii="宋体" w:hAnsi="宋体" w:hint="eastAsia"/>
          <w:sz w:val="24"/>
        </w:rPr>
        <w:t>工业园区</w:t>
      </w:r>
    </w:p>
    <w:p w:rsidR="00326C9A" w:rsidRPr="00E7365E" w:rsidRDefault="00326C9A" w:rsidP="00326C9A">
      <w:pPr>
        <w:spacing w:line="280" w:lineRule="exact"/>
        <w:ind w:firstLineChars="300" w:firstLine="720"/>
        <w:rPr>
          <w:rFonts w:ascii="宋体" w:hAnsi="宋体"/>
          <w:sz w:val="24"/>
        </w:rPr>
      </w:pPr>
      <w:r w:rsidRPr="00E7365E">
        <w:rPr>
          <w:rFonts w:ascii="宋体" w:hAnsi="宋体" w:hint="eastAsia"/>
          <w:sz w:val="24"/>
        </w:rPr>
        <w:t>邮政编码：456592</w:t>
      </w:r>
    </w:p>
    <w:p w:rsidR="00326C9A" w:rsidRPr="00E7365E" w:rsidRDefault="00326C9A" w:rsidP="00326C9A">
      <w:pPr>
        <w:spacing w:line="280" w:lineRule="exact"/>
        <w:ind w:firstLineChars="300" w:firstLine="720"/>
        <w:rPr>
          <w:rFonts w:ascii="宋体" w:hAnsi="宋体"/>
          <w:sz w:val="24"/>
        </w:rPr>
      </w:pPr>
      <w:r w:rsidRPr="00E7365E">
        <w:rPr>
          <w:rFonts w:ascii="宋体" w:hAnsi="宋体" w:hint="eastAsia"/>
          <w:sz w:val="24"/>
        </w:rPr>
        <w:t>电话号码：0372-6515111</w:t>
      </w:r>
    </w:p>
    <w:p w:rsidR="00326C9A" w:rsidRPr="00E7365E" w:rsidRDefault="00326C9A" w:rsidP="00326C9A">
      <w:pPr>
        <w:spacing w:line="280" w:lineRule="exact"/>
        <w:ind w:firstLineChars="300" w:firstLine="720"/>
        <w:rPr>
          <w:rFonts w:ascii="宋体" w:hAnsi="宋体"/>
          <w:sz w:val="24"/>
        </w:rPr>
      </w:pPr>
      <w:r w:rsidRPr="00E7365E">
        <w:rPr>
          <w:rFonts w:ascii="宋体" w:hAnsi="宋体" w:hint="eastAsia"/>
          <w:sz w:val="24"/>
        </w:rPr>
        <w:t xml:space="preserve">传真号码：0372-6515111 </w:t>
      </w:r>
    </w:p>
    <w:p w:rsidR="00451E45" w:rsidRDefault="00451E45"/>
    <w:sectPr w:rsidR="00451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badi MT Condensed Light">
    <w:altName w:val="MS PGothic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9A"/>
    <w:rsid w:val="00326C9A"/>
    <w:rsid w:val="00451E45"/>
    <w:rsid w:val="007A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326C9A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3"/>
    <w:rsid w:val="00326C9A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326C9A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3"/>
    <w:rsid w:val="00326C9A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1348</Characters>
  <Application>Microsoft Office Word</Application>
  <DocSecurity>0</DocSecurity>
  <Lines>11</Lines>
  <Paragraphs>3</Paragraphs>
  <ScaleCrop>false</ScaleCrop>
  <Company>2012dnd.com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2024-08-19T00:11:00Z</dcterms:created>
  <dcterms:modified xsi:type="dcterms:W3CDTF">2025-01-13T03:05:00Z</dcterms:modified>
</cp:coreProperties>
</file>