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58" w:rsidRPr="00B00C7C" w:rsidRDefault="000F1E20" w:rsidP="00CA7158">
      <w:pPr>
        <w:spacing w:line="0" w:lineRule="atLeast"/>
        <w:rPr>
          <w:rFonts w:ascii="宋体" w:hAnsi="宋体" w:hint="eastAsia"/>
          <w:sz w:val="24"/>
        </w:rPr>
      </w:pPr>
      <w:bookmarkStart w:id="0" w:name="_GoBack"/>
      <w:r>
        <w:rPr>
          <w:rFonts w:ascii="宋体" w:hAnsi="宋体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09EC01C3" wp14:editId="3E0C3DA1">
            <wp:simplePos x="0" y="0"/>
            <wp:positionH relativeFrom="column">
              <wp:posOffset>4887595</wp:posOffset>
            </wp:positionH>
            <wp:positionV relativeFrom="paragraph">
              <wp:posOffset>10160</wp:posOffset>
            </wp:positionV>
            <wp:extent cx="313055" cy="368300"/>
            <wp:effectExtent l="0" t="0" r="0" b="0"/>
            <wp:wrapNone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A7158" w:rsidRPr="00B00C7C">
        <w:rPr>
          <w:rFonts w:ascii="宋体" w:hAnsi="宋体"/>
          <w:sz w:val="24"/>
        </w:rPr>
        <w:t>核准日期：</w:t>
      </w:r>
      <w:r w:rsidR="00CA7158" w:rsidRPr="00B00C7C">
        <w:rPr>
          <w:rFonts w:ascii="宋体" w:hAnsi="宋体" w:hint="eastAsia"/>
          <w:sz w:val="24"/>
        </w:rPr>
        <w:t>2007年07月18日</w:t>
      </w:r>
    </w:p>
    <w:p w:rsidR="00CA7158" w:rsidRPr="00B00C7C" w:rsidRDefault="00CA7158" w:rsidP="00CA7158">
      <w:pPr>
        <w:spacing w:line="0" w:lineRule="atLeast"/>
        <w:rPr>
          <w:rFonts w:ascii="宋体" w:hAnsi="宋体" w:hint="eastAsia"/>
          <w:sz w:val="24"/>
        </w:rPr>
      </w:pPr>
      <w:r w:rsidRPr="00B00C7C">
        <w:rPr>
          <w:rFonts w:ascii="宋体" w:hAnsi="宋体" w:hint="eastAsia"/>
          <w:sz w:val="24"/>
        </w:rPr>
        <w:t xml:space="preserve">修订日期：2020年12月30日                          </w:t>
      </w:r>
    </w:p>
    <w:p w:rsidR="00CA7158" w:rsidRPr="000F1E20" w:rsidRDefault="00CA7158" w:rsidP="00CA7158">
      <w:pPr>
        <w:jc w:val="center"/>
        <w:rPr>
          <w:rFonts w:ascii="宋体" w:hAnsi="宋体"/>
          <w:b/>
          <w:sz w:val="28"/>
          <w:szCs w:val="28"/>
        </w:rPr>
      </w:pPr>
      <w:r w:rsidRPr="000F1E20">
        <w:rPr>
          <w:rFonts w:ascii="宋体" w:hAnsi="宋体" w:hint="eastAsia"/>
          <w:b/>
          <w:sz w:val="28"/>
          <w:szCs w:val="28"/>
        </w:rPr>
        <w:t>肝素钠</w:t>
      </w:r>
      <w:r w:rsidRPr="000F1E20">
        <w:rPr>
          <w:rFonts w:ascii="宋体" w:hAnsi="宋体"/>
          <w:b/>
          <w:sz w:val="28"/>
          <w:szCs w:val="28"/>
        </w:rPr>
        <w:t>注射液说明书</w:t>
      </w:r>
    </w:p>
    <w:p w:rsidR="00CA7158" w:rsidRPr="00B00C7C" w:rsidRDefault="00CA7158" w:rsidP="00CA7158">
      <w:pPr>
        <w:jc w:val="center"/>
        <w:rPr>
          <w:rFonts w:ascii="宋体" w:hAnsi="宋体"/>
          <w:b/>
          <w:sz w:val="24"/>
        </w:rPr>
      </w:pPr>
      <w:r w:rsidRPr="00B00C7C">
        <w:rPr>
          <w:rFonts w:ascii="宋体" w:hAnsi="宋体"/>
          <w:b/>
          <w:sz w:val="24"/>
        </w:rPr>
        <w:t>请仔细阅读说明书并在医师指导下使用</w:t>
      </w:r>
    </w:p>
    <w:p w:rsidR="00CA7158" w:rsidRPr="00B00C7C" w:rsidRDefault="00CA7158" w:rsidP="00CA7158">
      <w:pPr>
        <w:ind w:firstLine="628"/>
        <w:jc w:val="center"/>
        <w:rPr>
          <w:rFonts w:ascii="宋体" w:hAnsi="宋体"/>
          <w:sz w:val="24"/>
        </w:rPr>
      </w:pPr>
    </w:p>
    <w:p w:rsidR="00CA7158" w:rsidRPr="00B00C7C" w:rsidRDefault="00CA7158" w:rsidP="00CA7158">
      <w:pPr>
        <w:rPr>
          <w:rFonts w:ascii="宋体" w:hAnsi="宋体" w:hint="eastAsia"/>
          <w:b/>
          <w:bCs/>
          <w:sz w:val="24"/>
        </w:rPr>
      </w:pPr>
      <w:r w:rsidRPr="00B00C7C">
        <w:rPr>
          <w:rFonts w:ascii="宋体" w:hAnsi="宋体" w:hint="eastAsia"/>
          <w:b/>
          <w:bCs/>
          <w:sz w:val="24"/>
        </w:rPr>
        <w:t>【</w:t>
      </w:r>
      <w:r w:rsidRPr="00B00C7C">
        <w:rPr>
          <w:rFonts w:ascii="宋体" w:hAnsi="宋体" w:hint="eastAsia"/>
          <w:bCs/>
          <w:sz w:val="24"/>
        </w:rPr>
        <w:t>药品名称</w:t>
      </w:r>
      <w:r w:rsidRPr="00B00C7C">
        <w:rPr>
          <w:rFonts w:ascii="宋体" w:hAnsi="宋体" w:hint="eastAsia"/>
          <w:b/>
          <w:bCs/>
          <w:sz w:val="24"/>
        </w:rPr>
        <w:t>】</w:t>
      </w:r>
    </w:p>
    <w:p w:rsidR="00CA7158" w:rsidRPr="00B00C7C" w:rsidRDefault="00CA7158" w:rsidP="00CA7158">
      <w:pPr>
        <w:pStyle w:val="a4"/>
        <w:spacing w:line="320" w:lineRule="exact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sz w:val="24"/>
          <w:szCs w:val="24"/>
        </w:rPr>
        <w:t>通用名称：肝素钠注射液</w:t>
      </w:r>
    </w:p>
    <w:p w:rsidR="00CA7158" w:rsidRPr="00B00C7C" w:rsidRDefault="00CA7158" w:rsidP="00CA7158">
      <w:pPr>
        <w:pStyle w:val="a4"/>
        <w:spacing w:line="320" w:lineRule="exact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sz w:val="24"/>
          <w:szCs w:val="24"/>
        </w:rPr>
        <w:t>英文名称：Heparin Sodium Injection</w:t>
      </w:r>
    </w:p>
    <w:p w:rsidR="00CA7158" w:rsidRPr="00B00C7C" w:rsidRDefault="00CA7158" w:rsidP="00CA7158">
      <w:pPr>
        <w:pStyle w:val="a3"/>
        <w:spacing w:line="320" w:lineRule="exact"/>
        <w:rPr>
          <w:rFonts w:hAnsi="宋体" w:hint="eastAsia"/>
          <w:sz w:val="24"/>
        </w:rPr>
      </w:pPr>
      <w:r w:rsidRPr="00B00C7C">
        <w:rPr>
          <w:rFonts w:hAnsi="宋体" w:hint="eastAsia"/>
          <w:sz w:val="24"/>
        </w:rPr>
        <w:t>汉语拼音：Gɑ</w:t>
      </w:r>
      <w:proofErr w:type="spellStart"/>
      <w:r w:rsidRPr="00B00C7C">
        <w:rPr>
          <w:rFonts w:hAnsi="宋体" w:hint="eastAsia"/>
          <w:sz w:val="24"/>
        </w:rPr>
        <w:t>nsun</w:t>
      </w:r>
      <w:proofErr w:type="spellEnd"/>
      <w:r w:rsidRPr="00B00C7C">
        <w:rPr>
          <w:rFonts w:hAnsi="宋体" w:hint="eastAsia"/>
          <w:sz w:val="24"/>
        </w:rPr>
        <w:t xml:space="preserve">ɑ </w:t>
      </w:r>
      <w:proofErr w:type="spellStart"/>
      <w:r w:rsidRPr="00B00C7C">
        <w:rPr>
          <w:rFonts w:hAnsi="宋体" w:hint="eastAsia"/>
          <w:sz w:val="24"/>
        </w:rPr>
        <w:t>Zhusheye</w:t>
      </w:r>
      <w:proofErr w:type="spellEnd"/>
    </w:p>
    <w:p w:rsidR="00CA7158" w:rsidRPr="00B00C7C" w:rsidRDefault="00CA7158" w:rsidP="00CA7158">
      <w:pPr>
        <w:rPr>
          <w:rFonts w:ascii="宋体" w:hAnsi="宋体" w:hint="eastAsia"/>
          <w:sz w:val="24"/>
        </w:rPr>
      </w:pPr>
      <w:r w:rsidRPr="00B00C7C">
        <w:rPr>
          <w:rFonts w:ascii="宋体" w:hAnsi="宋体" w:hint="eastAsia"/>
          <w:b/>
          <w:bCs/>
          <w:sz w:val="24"/>
        </w:rPr>
        <w:t>【</w:t>
      </w:r>
      <w:r w:rsidRPr="00B00C7C">
        <w:rPr>
          <w:rFonts w:ascii="宋体" w:hAnsi="宋体" w:hint="eastAsia"/>
          <w:bCs/>
          <w:sz w:val="24"/>
        </w:rPr>
        <w:t>成份</w:t>
      </w:r>
      <w:r w:rsidRPr="00B00C7C">
        <w:rPr>
          <w:rFonts w:ascii="宋体" w:hAnsi="宋体" w:hint="eastAsia"/>
          <w:b/>
          <w:bCs/>
          <w:sz w:val="24"/>
        </w:rPr>
        <w:t>】</w:t>
      </w:r>
      <w:r w:rsidRPr="00B00C7C">
        <w:rPr>
          <w:rFonts w:ascii="宋体" w:hAnsi="宋体" w:hint="eastAsia"/>
          <w:sz w:val="24"/>
        </w:rPr>
        <w:t>本品主要成份为肝素钠。肝素</w:t>
      </w:r>
      <w:proofErr w:type="gramStart"/>
      <w:r w:rsidRPr="00B00C7C">
        <w:rPr>
          <w:rFonts w:ascii="宋体" w:hAnsi="宋体" w:hint="eastAsia"/>
          <w:sz w:val="24"/>
        </w:rPr>
        <w:t>钠系自猪</w:t>
      </w:r>
      <w:proofErr w:type="gramEnd"/>
      <w:r w:rsidRPr="00B00C7C">
        <w:rPr>
          <w:rFonts w:ascii="宋体" w:hAnsi="宋体" w:hint="eastAsia"/>
          <w:sz w:val="24"/>
        </w:rPr>
        <w:t>的肠粘膜或牛肺中提取精制的一种硫酸氨基葡聚糖的钠盐。属</w:t>
      </w:r>
      <w:proofErr w:type="gramStart"/>
      <w:r w:rsidRPr="00B00C7C">
        <w:rPr>
          <w:rFonts w:ascii="宋体" w:hAnsi="宋体" w:hint="eastAsia"/>
          <w:sz w:val="24"/>
        </w:rPr>
        <w:t>黏</w:t>
      </w:r>
      <w:proofErr w:type="gramEnd"/>
      <w:r w:rsidRPr="00B00C7C">
        <w:rPr>
          <w:rFonts w:ascii="宋体" w:hAnsi="宋体" w:hint="eastAsia"/>
          <w:sz w:val="24"/>
        </w:rPr>
        <w:t>多糖类物质。</w:t>
      </w:r>
    </w:p>
    <w:p w:rsidR="00CA7158" w:rsidRPr="00B00C7C" w:rsidRDefault="00CA7158" w:rsidP="00CA7158">
      <w:pPr>
        <w:pStyle w:val="a4"/>
        <w:spacing w:line="320" w:lineRule="exact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sz w:val="24"/>
          <w:szCs w:val="24"/>
        </w:rPr>
        <w:t>平均分子量12000。</w:t>
      </w:r>
    </w:p>
    <w:p w:rsidR="00CA7158" w:rsidRPr="00B00C7C" w:rsidRDefault="00CA7158" w:rsidP="00CA7158">
      <w:pPr>
        <w:pStyle w:val="a4"/>
        <w:spacing w:line="320" w:lineRule="exact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sz w:val="24"/>
          <w:szCs w:val="24"/>
        </w:rPr>
        <w:t>辅料为：氯化钠、注射用水。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 xml:space="preserve">【性状】 </w:t>
      </w:r>
      <w:r w:rsidRPr="00B00C7C">
        <w:rPr>
          <w:rFonts w:ascii="宋体" w:hAnsi="宋体" w:hint="eastAsia"/>
          <w:sz w:val="24"/>
          <w:szCs w:val="24"/>
        </w:rPr>
        <w:t>本品为无色至淡黄色的澄明液体。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 xml:space="preserve">【适应症】 </w:t>
      </w:r>
      <w:r w:rsidRPr="00B00C7C">
        <w:rPr>
          <w:rFonts w:ascii="宋体" w:hAnsi="宋体" w:hint="eastAsia"/>
          <w:sz w:val="24"/>
          <w:szCs w:val="24"/>
        </w:rPr>
        <w:t>用于防治血栓形成或栓塞性疾病（如心肌梗死、血栓性静脉炎、肺栓塞等）；各种原因引起的弥漫性血管内凝血（DIC）；也用于血液透析、体外循环、导管术、微血管手术等操作中及某些血液标本或器械的抗凝处理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sz w:val="24"/>
          <w:szCs w:val="24"/>
        </w:rPr>
        <w:t>【规    格】2ml：12500单位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bCs/>
          <w:sz w:val="24"/>
          <w:szCs w:val="24"/>
        </w:rPr>
      </w:pPr>
      <w:r w:rsidRPr="00B00C7C">
        <w:rPr>
          <w:rFonts w:ascii="宋体" w:hAnsi="宋体" w:hint="eastAsia"/>
          <w:b/>
          <w:bCs/>
          <w:sz w:val="24"/>
          <w:szCs w:val="24"/>
        </w:rPr>
        <w:t>【</w:t>
      </w:r>
      <w:r w:rsidRPr="00B00C7C">
        <w:rPr>
          <w:rFonts w:ascii="宋体" w:hAnsi="宋体" w:hint="eastAsia"/>
          <w:bCs/>
          <w:sz w:val="24"/>
          <w:szCs w:val="24"/>
        </w:rPr>
        <w:t>用法用量</w:t>
      </w:r>
      <w:r w:rsidRPr="00B00C7C">
        <w:rPr>
          <w:rFonts w:ascii="宋体" w:hAnsi="宋体" w:hint="eastAsia"/>
          <w:b/>
          <w:bCs/>
          <w:sz w:val="24"/>
          <w:szCs w:val="24"/>
        </w:rPr>
        <w:t>】</w:t>
      </w:r>
      <w:r w:rsidRPr="00B00C7C">
        <w:rPr>
          <w:rFonts w:ascii="宋体" w:hAnsi="宋体" w:hint="eastAsia"/>
          <w:sz w:val="24"/>
          <w:szCs w:val="24"/>
        </w:rPr>
        <w:t>（1）深部皮下注射  首次5000～10000单位，以后每8小时 8000～10000单位或每12小时15000～20000单位；每24小时总量约30000～40000单位，一般均能达到满意的效果。（2）静脉注射  首次5000～10000单位，之后，或按体重每4小时100单位/kg，用氯化钠注射液稀释后应用。（3）静脉滴注  每日20000～40000单位，加至氯化钠注射液1000ml中持续滴注。滴注前可先静脉注射5000单位作为初始剂量。（4）预防性治疗  高危血栓形成病人，大多是用于腹部手术之后，以防止深部静脉血栓。在外科手术前2小时先给5000单位肝素皮下注射，但麻醉方式应避免硬膜外麻醉，然后每隔8～12小时5000单位，共约7日。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>【不良反应】</w:t>
      </w:r>
      <w:r w:rsidRPr="00B00C7C">
        <w:rPr>
          <w:rFonts w:ascii="宋体" w:hAnsi="宋体" w:hint="eastAsia"/>
          <w:sz w:val="24"/>
          <w:szCs w:val="24"/>
        </w:rPr>
        <w:t>毒性较低，主要不良反应是用药过多可致自发性出血，故每次注射前应测定凝血时间。如注射后引起严重出血，可静注硫酸鱼精蛋白进行急救（</w:t>
      </w:r>
      <w:proofErr w:type="spellStart"/>
      <w:r w:rsidRPr="00B00C7C">
        <w:rPr>
          <w:rFonts w:ascii="宋体" w:hAnsi="宋体" w:hint="eastAsia"/>
          <w:sz w:val="24"/>
          <w:szCs w:val="24"/>
        </w:rPr>
        <w:t>lmg</w:t>
      </w:r>
      <w:proofErr w:type="spellEnd"/>
      <w:r w:rsidRPr="00B00C7C">
        <w:rPr>
          <w:rFonts w:ascii="宋体" w:hAnsi="宋体" w:hint="eastAsia"/>
          <w:sz w:val="24"/>
          <w:szCs w:val="24"/>
        </w:rPr>
        <w:t>硫酸鱼精蛋白可中和150U肝素）。偶可引起过敏反应及血小板减少</w:t>
      </w:r>
      <w:r>
        <w:rPr>
          <w:rFonts w:ascii="宋体" w:hAnsi="宋体" w:hint="eastAsia"/>
          <w:sz w:val="24"/>
          <w:szCs w:val="24"/>
        </w:rPr>
        <w:t>,</w:t>
      </w:r>
      <w:r w:rsidRPr="00B00C7C">
        <w:rPr>
          <w:rFonts w:ascii="宋体" w:hAnsi="宋体" w:hint="eastAsia"/>
          <w:sz w:val="24"/>
          <w:szCs w:val="24"/>
        </w:rPr>
        <w:t>常发生在用药初5～9天，</w:t>
      </w:r>
      <w:proofErr w:type="gramStart"/>
      <w:r w:rsidRPr="00B00C7C">
        <w:rPr>
          <w:rFonts w:ascii="宋体" w:hAnsi="宋体" w:hint="eastAsia"/>
          <w:sz w:val="24"/>
          <w:szCs w:val="24"/>
        </w:rPr>
        <w:t>故开始</w:t>
      </w:r>
      <w:proofErr w:type="gramEnd"/>
      <w:r w:rsidRPr="00B00C7C">
        <w:rPr>
          <w:rFonts w:ascii="宋体" w:hAnsi="宋体" w:hint="eastAsia"/>
          <w:sz w:val="24"/>
          <w:szCs w:val="24"/>
        </w:rPr>
        <w:t>治疗1个月内应定期监测血小板计数。偶见一次性脱发和腹泻。尚可引起骨质疏松和自发性骨折。肝功能不良者长期使用可引起抗凝血酶</w:t>
      </w:r>
      <w:r w:rsidRPr="00B00C7C">
        <w:rPr>
          <w:rFonts w:ascii="宋体" w:hAnsi="宋体" w:hint="eastAsia"/>
          <w:sz w:val="24"/>
          <w:szCs w:val="24"/>
          <w:vertAlign w:val="subscript"/>
        </w:rPr>
        <w:t>-</w:t>
      </w:r>
      <w:r w:rsidRPr="00B00C7C">
        <w:rPr>
          <w:rFonts w:ascii="宋体" w:hAnsi="宋体" w:hint="eastAsia"/>
          <w:sz w:val="24"/>
          <w:szCs w:val="24"/>
        </w:rPr>
        <w:t>Ⅲ耗竭而血栓形成倾向。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>【禁忌】</w:t>
      </w:r>
      <w:r w:rsidRPr="00B00C7C">
        <w:rPr>
          <w:rFonts w:ascii="宋体" w:hAnsi="宋体" w:hint="eastAsia"/>
          <w:sz w:val="24"/>
          <w:szCs w:val="24"/>
        </w:rPr>
        <w:t>对肝素过敏、有自发出血倾向者、血液凝固迟缓者（如血友病、紫癜、血小板减少）、溃疡病、创伤、产后出血者及严重肝功能不全者禁用。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>【注意事项】</w:t>
      </w:r>
      <w:r w:rsidRPr="00B00C7C">
        <w:rPr>
          <w:rFonts w:ascii="宋体" w:hAnsi="宋体" w:hint="eastAsia"/>
          <w:sz w:val="24"/>
          <w:szCs w:val="24"/>
        </w:rPr>
        <w:t>用药期间应定时测定凝血时间。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>【孕妇及哺乳期妇女用药】</w:t>
      </w:r>
      <w:r w:rsidRPr="00B00C7C">
        <w:rPr>
          <w:rFonts w:ascii="宋体" w:hAnsi="宋体" w:hint="eastAsia"/>
          <w:sz w:val="24"/>
          <w:szCs w:val="24"/>
        </w:rPr>
        <w:t>妊娠后期和产后用药，有增加母体出血危险，须慎用。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 xml:space="preserve">【儿童用药】 </w:t>
      </w:r>
      <w:r w:rsidRPr="00B00C7C">
        <w:rPr>
          <w:rFonts w:ascii="宋体" w:hAnsi="宋体" w:hint="eastAsia"/>
          <w:sz w:val="24"/>
          <w:szCs w:val="24"/>
        </w:rPr>
        <w:t>（1）静脉注射  按体重一次注入50单位/kg，以后每4小时给予50～100单位；（2）静脉滴注  按体重注入50单位/kg，以后按体表面积24小时给予每日20000单位/m</w:t>
      </w:r>
      <w:r w:rsidRPr="00B00C7C">
        <w:rPr>
          <w:rFonts w:ascii="宋体" w:hAnsi="宋体" w:hint="eastAsia"/>
          <w:sz w:val="24"/>
          <w:szCs w:val="24"/>
          <w:vertAlign w:val="superscript"/>
        </w:rPr>
        <w:t>2</w:t>
      </w:r>
      <w:r w:rsidRPr="00B00C7C">
        <w:rPr>
          <w:rFonts w:ascii="宋体" w:hAnsi="宋体" w:hint="eastAsia"/>
          <w:sz w:val="24"/>
          <w:szCs w:val="24"/>
        </w:rPr>
        <w:t>，加入氯化钠注射液中缓慢滴注。</w:t>
      </w:r>
    </w:p>
    <w:p w:rsidR="00CA7158" w:rsidRPr="00B00C7C" w:rsidRDefault="00CA7158" w:rsidP="00CA7158">
      <w:pPr>
        <w:pStyle w:val="a5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 xml:space="preserve">【老年用药】 </w:t>
      </w:r>
      <w:r w:rsidRPr="00B00C7C">
        <w:rPr>
          <w:rFonts w:ascii="宋体" w:hAnsi="宋体" w:hint="eastAsia"/>
          <w:sz w:val="24"/>
          <w:szCs w:val="24"/>
        </w:rPr>
        <w:t>60岁以上老年人，尤其是老年妇女对该药较敏感，用药期间容易出血，应减量并加强用药随访。</w:t>
      </w:r>
    </w:p>
    <w:p w:rsidR="00CA7158" w:rsidRPr="00B00C7C" w:rsidRDefault="00CA7158" w:rsidP="00CA7158">
      <w:pPr>
        <w:pStyle w:val="a5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lastRenderedPageBreak/>
        <w:t>【药物相互作用】</w:t>
      </w:r>
      <w:r w:rsidRPr="00B00C7C">
        <w:rPr>
          <w:rFonts w:ascii="宋体" w:hAnsi="宋体" w:hint="eastAsia"/>
          <w:sz w:val="24"/>
          <w:szCs w:val="24"/>
        </w:rPr>
        <w:t>（1）本品与下列药物合用，可加重出血危险。①香豆素及其衍生物，可导致严重的因子Ⅸ缺乏而致出血；②阿司匹林及非</w:t>
      </w:r>
      <w:proofErr w:type="gramStart"/>
      <w:r w:rsidRPr="00B00C7C">
        <w:rPr>
          <w:rFonts w:ascii="宋体" w:hAnsi="宋体" w:hint="eastAsia"/>
          <w:sz w:val="24"/>
          <w:szCs w:val="24"/>
        </w:rPr>
        <w:t>甾</w:t>
      </w:r>
      <w:proofErr w:type="gramEnd"/>
      <w:r w:rsidRPr="00B00C7C">
        <w:rPr>
          <w:rFonts w:ascii="宋体" w:hAnsi="宋体" w:hint="eastAsia"/>
          <w:sz w:val="24"/>
          <w:szCs w:val="24"/>
        </w:rPr>
        <w:t>体消炎镇痛药，包括</w:t>
      </w:r>
      <w:proofErr w:type="gramStart"/>
      <w:r w:rsidRPr="00B00C7C">
        <w:rPr>
          <w:rFonts w:ascii="宋体" w:hAnsi="宋体" w:hint="eastAsia"/>
          <w:sz w:val="24"/>
          <w:szCs w:val="24"/>
        </w:rPr>
        <w:t>甲芬那</w:t>
      </w:r>
      <w:proofErr w:type="gramEnd"/>
      <w:r w:rsidRPr="00B00C7C">
        <w:rPr>
          <w:rFonts w:ascii="宋体" w:hAnsi="宋体" w:hint="eastAsia"/>
          <w:sz w:val="24"/>
          <w:szCs w:val="24"/>
        </w:rPr>
        <w:t>酸、水杨酸等均能抑制血小板功能，并能诱发胃肠道溃疡出血；③双</w:t>
      </w:r>
      <w:proofErr w:type="gramStart"/>
      <w:r w:rsidRPr="00B00C7C">
        <w:rPr>
          <w:rFonts w:ascii="宋体" w:hAnsi="宋体" w:hint="eastAsia"/>
          <w:sz w:val="24"/>
          <w:szCs w:val="24"/>
        </w:rPr>
        <w:t>嘧</w:t>
      </w:r>
      <w:proofErr w:type="gramEnd"/>
      <w:r w:rsidRPr="00B00C7C">
        <w:rPr>
          <w:rFonts w:ascii="宋体" w:hAnsi="宋体" w:hint="eastAsia"/>
          <w:sz w:val="24"/>
          <w:szCs w:val="24"/>
        </w:rPr>
        <w:t>达莫、右旋糖</w:t>
      </w:r>
      <w:proofErr w:type="gramStart"/>
      <w:r w:rsidRPr="00B00C7C">
        <w:rPr>
          <w:rFonts w:ascii="宋体" w:hAnsi="宋体" w:hint="eastAsia"/>
          <w:sz w:val="24"/>
          <w:szCs w:val="24"/>
        </w:rPr>
        <w:t>酐</w:t>
      </w:r>
      <w:proofErr w:type="gramEnd"/>
      <w:r w:rsidRPr="00B00C7C">
        <w:rPr>
          <w:rFonts w:ascii="宋体" w:hAnsi="宋体" w:hint="eastAsia"/>
          <w:sz w:val="24"/>
          <w:szCs w:val="24"/>
        </w:rPr>
        <w:t>等可能抑制血小板功能；④肾上腺皮质激素、促肾上腺皮质激素等易诱发胃肠道溃疡出血；⑤其他</w:t>
      </w:r>
      <w:proofErr w:type="gramStart"/>
      <w:r w:rsidRPr="00B00C7C">
        <w:rPr>
          <w:rFonts w:ascii="宋体" w:hAnsi="宋体" w:hint="eastAsia"/>
          <w:sz w:val="24"/>
          <w:szCs w:val="24"/>
        </w:rPr>
        <w:t>尚有利</w:t>
      </w:r>
      <w:proofErr w:type="gramEnd"/>
      <w:r w:rsidRPr="00B00C7C">
        <w:rPr>
          <w:rFonts w:ascii="宋体" w:hAnsi="宋体" w:hint="eastAsia"/>
          <w:sz w:val="24"/>
          <w:szCs w:val="24"/>
        </w:rPr>
        <w:t>尿酸、组织纤溶酶原激活物（</w:t>
      </w:r>
      <w:r w:rsidRPr="00B00C7C">
        <w:rPr>
          <w:rFonts w:ascii="宋体" w:hAnsi="宋体" w:hint="eastAsia"/>
          <w:i/>
          <w:iCs/>
          <w:sz w:val="24"/>
          <w:szCs w:val="24"/>
        </w:rPr>
        <w:t>t</w:t>
      </w:r>
      <w:r w:rsidRPr="00B00C7C">
        <w:rPr>
          <w:rFonts w:ascii="宋体" w:hAnsi="宋体" w:hint="eastAsia"/>
          <w:sz w:val="24"/>
          <w:szCs w:val="24"/>
        </w:rPr>
        <w:t>-PA）、尿激酶、链激酶等。（2）肝素并用碳酸氢钠、乳酸钠等纠正酸中毒的药物可促进肝素的抗凝作用。（3）肝素与</w:t>
      </w:r>
      <w:r w:rsidRPr="00B00C7C">
        <w:rPr>
          <w:rFonts w:ascii="宋体" w:hAnsi="宋体" w:hint="eastAsia"/>
          <w:bCs/>
          <w:sz w:val="24"/>
          <w:szCs w:val="24"/>
        </w:rPr>
        <w:t>透明质酸酶混合注射，既能减轻肌注痛，又可促进肝素吸收。但肝素可抑制透明质酸酶活性，故两者应临时配伍使用，药物混合后不宜久置。</w:t>
      </w:r>
      <w:r w:rsidRPr="00B00C7C">
        <w:rPr>
          <w:rFonts w:ascii="宋体" w:hAnsi="宋体" w:hint="eastAsia"/>
          <w:sz w:val="24"/>
          <w:szCs w:val="24"/>
        </w:rPr>
        <w:t>（4）肝素可与胰岛素受体作用，从而改变胰岛素的结合和作用。已有肝素致低血糖的报道。（5）下列药物与本品有配伍禁忌：卡那霉素、阿米卡星、柔红霉素、乳糖酸红霉素、硫酸庆大霉素、氢化考的松琥珀酸钠、多粘菌素B、阿霉素、妥布霉素、万古霉素、头</w:t>
      </w:r>
      <w:proofErr w:type="gramStart"/>
      <w:r w:rsidRPr="00B00C7C">
        <w:rPr>
          <w:rFonts w:ascii="宋体" w:hAnsi="宋体" w:hint="eastAsia"/>
          <w:sz w:val="24"/>
          <w:szCs w:val="24"/>
        </w:rPr>
        <w:t>孢</w:t>
      </w:r>
      <w:proofErr w:type="gramEnd"/>
      <w:r w:rsidRPr="00B00C7C">
        <w:rPr>
          <w:rFonts w:ascii="宋体" w:hAnsi="宋体" w:hint="eastAsia"/>
          <w:sz w:val="24"/>
          <w:szCs w:val="24"/>
        </w:rPr>
        <w:t>孟多、头</w:t>
      </w:r>
      <w:proofErr w:type="gramStart"/>
      <w:r w:rsidRPr="00B00C7C">
        <w:rPr>
          <w:rFonts w:ascii="宋体" w:hAnsi="宋体" w:hint="eastAsia"/>
          <w:sz w:val="24"/>
          <w:szCs w:val="24"/>
        </w:rPr>
        <w:t>孢</w:t>
      </w:r>
      <w:proofErr w:type="gramEnd"/>
      <w:r w:rsidRPr="00B00C7C">
        <w:rPr>
          <w:rFonts w:ascii="宋体" w:hAnsi="宋体" w:hint="eastAsia"/>
          <w:sz w:val="24"/>
          <w:szCs w:val="24"/>
        </w:rPr>
        <w:t>氧</w:t>
      </w:r>
      <w:proofErr w:type="gramStart"/>
      <w:r w:rsidRPr="00B00C7C">
        <w:rPr>
          <w:rFonts w:ascii="宋体" w:hAnsi="宋体" w:hint="eastAsia"/>
          <w:sz w:val="24"/>
          <w:szCs w:val="24"/>
        </w:rPr>
        <w:t>哌唑</w:t>
      </w:r>
      <w:proofErr w:type="gramEnd"/>
      <w:r w:rsidRPr="00B00C7C">
        <w:rPr>
          <w:rFonts w:ascii="宋体" w:hAnsi="宋体" w:hint="eastAsia"/>
          <w:sz w:val="24"/>
          <w:szCs w:val="24"/>
        </w:rPr>
        <w:t>、头</w:t>
      </w:r>
      <w:proofErr w:type="gramStart"/>
      <w:r w:rsidRPr="00B00C7C">
        <w:rPr>
          <w:rFonts w:ascii="宋体" w:hAnsi="宋体" w:hint="eastAsia"/>
          <w:sz w:val="24"/>
          <w:szCs w:val="24"/>
        </w:rPr>
        <w:t>孢</w:t>
      </w:r>
      <w:proofErr w:type="gramEnd"/>
      <w:r w:rsidRPr="00B00C7C">
        <w:rPr>
          <w:rFonts w:ascii="宋体" w:hAnsi="宋体" w:hint="eastAsia"/>
          <w:sz w:val="24"/>
          <w:szCs w:val="24"/>
        </w:rPr>
        <w:t>噻吩钠、氯喹、氯丙嗪、异丙嗪、麻醉性镇痛药。（6）甲</w:t>
      </w:r>
      <w:proofErr w:type="gramStart"/>
      <w:r w:rsidRPr="00B00C7C">
        <w:rPr>
          <w:rFonts w:ascii="宋体" w:hAnsi="宋体" w:hint="eastAsia"/>
          <w:sz w:val="24"/>
          <w:szCs w:val="24"/>
        </w:rPr>
        <w:t>巯</w:t>
      </w:r>
      <w:proofErr w:type="gramEnd"/>
      <w:r w:rsidRPr="00B00C7C">
        <w:rPr>
          <w:rFonts w:ascii="宋体" w:hAnsi="宋体" w:hint="eastAsia"/>
          <w:sz w:val="24"/>
          <w:szCs w:val="24"/>
        </w:rPr>
        <w:t>咪唑、丙硫氧嘧啶与本品有协同作用。</w:t>
      </w:r>
    </w:p>
    <w:p w:rsidR="00CA7158" w:rsidRPr="00B00C7C" w:rsidRDefault="00CA7158" w:rsidP="00CA7158">
      <w:pPr>
        <w:pStyle w:val="a5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>【药物过量】</w:t>
      </w:r>
      <w:r w:rsidRPr="00B00C7C">
        <w:rPr>
          <w:rFonts w:ascii="宋体" w:hAnsi="宋体" w:hint="eastAsia"/>
          <w:sz w:val="24"/>
          <w:szCs w:val="24"/>
        </w:rPr>
        <w:t>本品过量可致自发性出血倾向。肝素过量时可用1%的硫酸鱼精蛋白溶液缓慢滴注，如此可中和肝素作用。每1mg鱼精蛋白可中和100U的肝素钠。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>【药理毒理】</w:t>
      </w:r>
      <w:r w:rsidRPr="00B00C7C">
        <w:rPr>
          <w:rFonts w:ascii="宋体" w:hAnsi="宋体" w:hint="eastAsia"/>
          <w:sz w:val="24"/>
          <w:szCs w:val="24"/>
        </w:rPr>
        <w:t>由于本品</w:t>
      </w:r>
      <w:proofErr w:type="gramStart"/>
      <w:r w:rsidRPr="00B00C7C">
        <w:rPr>
          <w:rFonts w:ascii="宋体" w:hAnsi="宋体" w:hint="eastAsia"/>
          <w:sz w:val="24"/>
          <w:szCs w:val="24"/>
        </w:rPr>
        <w:t>具有带强负电荷</w:t>
      </w:r>
      <w:proofErr w:type="gramEnd"/>
      <w:r w:rsidRPr="00B00C7C">
        <w:rPr>
          <w:rFonts w:ascii="宋体" w:hAnsi="宋体" w:hint="eastAsia"/>
          <w:sz w:val="24"/>
          <w:szCs w:val="24"/>
        </w:rPr>
        <w:t>的理化特性，能干扰血凝过程的许多环节，在体内外都有抗凝血作用。其作用机制比较复杂，主要通过与抗凝血酶Ⅲ（AT-Ⅲ）结合，而增强后者对活化的Ⅱ、Ⅸ、Ⅹ、Ⅺ和Ⅻ凝血因子的抑制作用。其后果涉及阻止血小板凝集和破坏，妨碍凝血激活酶的形成；阻止凝血酶原变为凝血酶；抑制凝血酶，从而妨碍纤维蛋白原变成纤维蛋白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bCs/>
          <w:sz w:val="24"/>
          <w:szCs w:val="24"/>
        </w:rPr>
        <w:t>【药代动力学】</w:t>
      </w:r>
      <w:r w:rsidRPr="00B00C7C">
        <w:rPr>
          <w:rFonts w:ascii="宋体" w:hAnsi="宋体" w:hint="eastAsia"/>
          <w:sz w:val="24"/>
          <w:szCs w:val="24"/>
        </w:rPr>
        <w:t>本品口服不吸收，皮下、肌内或静注吸收良好。但80%肝素与血浆白蛋白相结合，部分被血细胞吸附，部分可弥散到血管外组织间隙。由于分子量较大，不能通过胸膜、腹膜和胎盘组织。本品主要在网状内皮系统代谢，肾脏排泄，其中少量以原形排出。静注后其排泄取决于给药剂量。当1次给予100、400或800U/kg时，</w:t>
      </w:r>
      <w:r w:rsidRPr="00B00C7C">
        <w:rPr>
          <w:rFonts w:ascii="宋体" w:hAnsi="宋体" w:hint="eastAsia"/>
          <w:i/>
          <w:iCs/>
          <w:sz w:val="24"/>
          <w:szCs w:val="24"/>
        </w:rPr>
        <w:t>t</w:t>
      </w:r>
      <w:r w:rsidRPr="00B00C7C">
        <w:rPr>
          <w:rFonts w:ascii="宋体" w:hAnsi="宋体"/>
          <w:sz w:val="24"/>
          <w:szCs w:val="24"/>
          <w:vertAlign w:val="subscript"/>
        </w:rPr>
        <w:t>1/2</w:t>
      </w:r>
      <w:r w:rsidRPr="00B00C7C">
        <w:rPr>
          <w:rFonts w:ascii="宋体" w:hAnsi="宋体" w:hint="eastAsia"/>
          <w:sz w:val="24"/>
          <w:szCs w:val="24"/>
        </w:rPr>
        <w:t>分别为1小时、2.</w:t>
      </w:r>
      <w:r w:rsidRPr="00B00C7C">
        <w:rPr>
          <w:rFonts w:ascii="宋体" w:hAnsi="宋体"/>
          <w:sz w:val="24"/>
          <w:szCs w:val="24"/>
        </w:rPr>
        <w:t>5</w:t>
      </w:r>
      <w:r w:rsidRPr="00B00C7C">
        <w:rPr>
          <w:rFonts w:ascii="宋体" w:hAnsi="宋体" w:hint="eastAsia"/>
          <w:sz w:val="24"/>
          <w:szCs w:val="24"/>
        </w:rPr>
        <w:t>小时和5小时。慢性肝肾功能不全及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sz w:val="24"/>
          <w:szCs w:val="24"/>
        </w:rPr>
        <w:t>过度肥胖者，代谢排泄延迟，有蓄积可能；本品起</w:t>
      </w:r>
      <w:proofErr w:type="gramStart"/>
      <w:r w:rsidRPr="00B00C7C">
        <w:rPr>
          <w:rFonts w:ascii="宋体" w:hAnsi="宋体" w:hint="eastAsia"/>
          <w:sz w:val="24"/>
          <w:szCs w:val="24"/>
        </w:rPr>
        <w:t>效</w:t>
      </w:r>
      <w:proofErr w:type="gramEnd"/>
      <w:r w:rsidRPr="00B00C7C">
        <w:rPr>
          <w:rFonts w:ascii="宋体" w:hAnsi="宋体" w:hint="eastAsia"/>
          <w:sz w:val="24"/>
          <w:szCs w:val="24"/>
        </w:rPr>
        <w:t>时间与给药方式有关，静注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sz w:val="24"/>
          <w:szCs w:val="24"/>
        </w:rPr>
        <w:t>即刻发挥最大抗凝效应，但个体差异较大，皮下注射因吸收个体差异较大，故总体持续时间明显延长。血浆内肝素浓度不受透析的影响。</w:t>
      </w:r>
    </w:p>
    <w:p w:rsidR="00CA7158" w:rsidRPr="00B00C7C" w:rsidRDefault="00CA7158" w:rsidP="00CA7158">
      <w:pPr>
        <w:pStyle w:val="a4"/>
        <w:spacing w:line="320" w:lineRule="exact"/>
        <w:ind w:firstLine="0"/>
        <w:rPr>
          <w:rFonts w:ascii="宋体" w:hAnsi="宋体" w:hint="eastAsia"/>
          <w:sz w:val="24"/>
          <w:szCs w:val="24"/>
        </w:rPr>
      </w:pPr>
      <w:r w:rsidRPr="00B00C7C">
        <w:rPr>
          <w:rFonts w:ascii="宋体" w:hAnsi="宋体" w:hint="eastAsia"/>
          <w:sz w:val="24"/>
          <w:szCs w:val="24"/>
        </w:rPr>
        <w:t>【贮    藏】密闭保存。</w:t>
      </w:r>
    </w:p>
    <w:p w:rsidR="00CA7158" w:rsidRPr="00B00C7C" w:rsidRDefault="00CA7158" w:rsidP="00CA7158">
      <w:pPr>
        <w:tabs>
          <w:tab w:val="left" w:pos="2655"/>
        </w:tabs>
        <w:spacing w:line="320" w:lineRule="exact"/>
        <w:rPr>
          <w:rFonts w:ascii="宋体" w:hAnsi="宋体"/>
          <w:sz w:val="24"/>
        </w:rPr>
      </w:pPr>
      <w:r w:rsidRPr="00B00C7C">
        <w:rPr>
          <w:rFonts w:ascii="宋体" w:hAnsi="宋体" w:hint="eastAsia"/>
          <w:sz w:val="24"/>
        </w:rPr>
        <w:t>【包    装】</w:t>
      </w:r>
      <w:proofErr w:type="gramStart"/>
      <w:r w:rsidRPr="00B00C7C">
        <w:rPr>
          <w:rFonts w:ascii="宋体" w:hAnsi="宋体" w:hint="eastAsia"/>
          <w:sz w:val="24"/>
        </w:rPr>
        <w:t>低硼硅玻璃</w:t>
      </w:r>
      <w:proofErr w:type="gramEnd"/>
      <w:r w:rsidRPr="00B00C7C">
        <w:rPr>
          <w:rFonts w:ascii="宋体" w:hAnsi="宋体" w:hint="eastAsia"/>
          <w:sz w:val="24"/>
        </w:rPr>
        <w:t>安瓿，10</w:t>
      </w:r>
      <w:r w:rsidRPr="00B00C7C">
        <w:rPr>
          <w:rFonts w:ascii="宋体" w:hAnsi="宋体"/>
          <w:sz w:val="24"/>
        </w:rPr>
        <w:t>支</w:t>
      </w:r>
      <w:r w:rsidRPr="00B00C7C">
        <w:rPr>
          <w:rFonts w:ascii="宋体" w:hAnsi="宋体" w:hint="eastAsia"/>
          <w:sz w:val="24"/>
        </w:rPr>
        <w:t>/盒。</w:t>
      </w:r>
    </w:p>
    <w:p w:rsidR="00CA7158" w:rsidRPr="00B00C7C" w:rsidRDefault="00CA7158" w:rsidP="00CA7158">
      <w:pPr>
        <w:tabs>
          <w:tab w:val="left" w:pos="2655"/>
        </w:tabs>
        <w:spacing w:line="320" w:lineRule="exact"/>
        <w:rPr>
          <w:rFonts w:ascii="宋体" w:hAnsi="宋体" w:hint="eastAsia"/>
          <w:sz w:val="24"/>
        </w:rPr>
      </w:pPr>
      <w:r w:rsidRPr="00B00C7C">
        <w:rPr>
          <w:rFonts w:ascii="宋体" w:hAnsi="宋体" w:hint="eastAsia"/>
          <w:sz w:val="24"/>
        </w:rPr>
        <w:t>【有 效 期】36个月。</w:t>
      </w:r>
    </w:p>
    <w:p w:rsidR="00CA7158" w:rsidRPr="00B00C7C" w:rsidRDefault="00CA7158" w:rsidP="00CA7158">
      <w:pPr>
        <w:spacing w:line="320" w:lineRule="exact"/>
        <w:rPr>
          <w:rFonts w:ascii="宋体" w:hAnsi="宋体" w:hint="eastAsia"/>
          <w:b/>
          <w:sz w:val="24"/>
        </w:rPr>
      </w:pPr>
      <w:r w:rsidRPr="00B00C7C">
        <w:rPr>
          <w:rFonts w:ascii="宋体" w:hAnsi="宋体"/>
          <w:sz w:val="24"/>
        </w:rPr>
        <w:t>【</w:t>
      </w:r>
      <w:r w:rsidRPr="00B00C7C">
        <w:rPr>
          <w:rFonts w:ascii="宋体" w:hAnsi="宋体" w:hint="eastAsia"/>
          <w:bCs/>
          <w:sz w:val="24"/>
        </w:rPr>
        <w:t>执行标准</w:t>
      </w:r>
      <w:r w:rsidRPr="00B00C7C">
        <w:rPr>
          <w:rFonts w:ascii="宋体" w:hAnsi="宋体"/>
          <w:sz w:val="24"/>
        </w:rPr>
        <w:t>】</w:t>
      </w:r>
      <w:r w:rsidRPr="00B00C7C">
        <w:rPr>
          <w:rFonts w:ascii="宋体" w:hAnsi="宋体" w:hint="eastAsia"/>
          <w:sz w:val="24"/>
        </w:rPr>
        <w:t>中国药典2020年版二部。</w:t>
      </w:r>
    </w:p>
    <w:p w:rsidR="00CA7158" w:rsidRPr="00B00C7C" w:rsidRDefault="00CA7158" w:rsidP="00CA7158">
      <w:pPr>
        <w:tabs>
          <w:tab w:val="left" w:pos="2655"/>
        </w:tabs>
        <w:spacing w:line="320" w:lineRule="exact"/>
        <w:rPr>
          <w:rFonts w:ascii="宋体" w:hAnsi="宋体" w:hint="eastAsia"/>
          <w:bCs/>
          <w:sz w:val="24"/>
        </w:rPr>
      </w:pPr>
      <w:r w:rsidRPr="00B00C7C">
        <w:rPr>
          <w:rFonts w:ascii="宋体" w:hAnsi="宋体" w:hint="eastAsia"/>
          <w:sz w:val="24"/>
        </w:rPr>
        <w:t>【批准文号】</w:t>
      </w:r>
      <w:r w:rsidRPr="00B00C7C">
        <w:rPr>
          <w:rFonts w:ascii="宋体" w:hAnsi="宋体" w:hint="eastAsia"/>
          <w:bCs/>
          <w:sz w:val="24"/>
        </w:rPr>
        <w:t>国药准字H41025473</w:t>
      </w:r>
    </w:p>
    <w:p w:rsidR="00CA7158" w:rsidRPr="00B00C7C" w:rsidRDefault="00CA7158" w:rsidP="00CA7158">
      <w:pPr>
        <w:outlineLvl w:val="0"/>
        <w:rPr>
          <w:rFonts w:ascii="宋体" w:hAnsi="宋体" w:hint="eastAsia"/>
          <w:sz w:val="24"/>
        </w:rPr>
      </w:pPr>
      <w:r w:rsidRPr="00B00C7C">
        <w:rPr>
          <w:rFonts w:ascii="宋体" w:hAnsi="宋体" w:hint="eastAsia"/>
          <w:sz w:val="24"/>
        </w:rPr>
        <w:t>【上市许可持有人】海南制药厂有限公司制药二厂</w:t>
      </w:r>
    </w:p>
    <w:p w:rsidR="00CA7158" w:rsidRPr="00B00C7C" w:rsidRDefault="00CA7158" w:rsidP="00CA7158">
      <w:pPr>
        <w:outlineLvl w:val="0"/>
        <w:rPr>
          <w:rFonts w:ascii="宋体" w:hAnsi="宋体" w:hint="eastAsia"/>
          <w:sz w:val="24"/>
        </w:rPr>
      </w:pPr>
      <w:r w:rsidRPr="00B00C7C">
        <w:rPr>
          <w:rFonts w:ascii="宋体" w:hAnsi="宋体" w:hint="eastAsia"/>
          <w:sz w:val="24"/>
        </w:rPr>
        <w:t>【地    址】林州市</w:t>
      </w:r>
      <w:proofErr w:type="gramStart"/>
      <w:r w:rsidRPr="00B00C7C">
        <w:rPr>
          <w:rFonts w:ascii="宋体" w:hAnsi="宋体" w:hint="eastAsia"/>
          <w:sz w:val="24"/>
        </w:rPr>
        <w:t>史家河</w:t>
      </w:r>
      <w:proofErr w:type="gramEnd"/>
      <w:r w:rsidRPr="00B00C7C">
        <w:rPr>
          <w:rFonts w:ascii="宋体" w:hAnsi="宋体" w:hint="eastAsia"/>
          <w:sz w:val="24"/>
        </w:rPr>
        <w:t>工业园区</w:t>
      </w:r>
    </w:p>
    <w:p w:rsidR="00CA7158" w:rsidRPr="00B00C7C" w:rsidRDefault="00CA7158" w:rsidP="00CA7158">
      <w:pPr>
        <w:spacing w:line="320" w:lineRule="exact"/>
        <w:ind w:right="-244"/>
        <w:rPr>
          <w:rFonts w:ascii="宋体" w:hAnsi="宋体" w:hint="eastAsia"/>
          <w:sz w:val="24"/>
        </w:rPr>
      </w:pPr>
      <w:r w:rsidRPr="00B00C7C">
        <w:rPr>
          <w:rFonts w:ascii="宋体" w:hAnsi="宋体"/>
          <w:sz w:val="24"/>
        </w:rPr>
        <w:t>【</w:t>
      </w:r>
      <w:r w:rsidRPr="00B00C7C">
        <w:rPr>
          <w:rFonts w:ascii="宋体" w:hAnsi="宋体"/>
          <w:bCs/>
          <w:sz w:val="24"/>
        </w:rPr>
        <w:t>生产企业</w:t>
      </w:r>
      <w:r w:rsidRPr="00B00C7C">
        <w:rPr>
          <w:rFonts w:ascii="宋体" w:hAnsi="宋体"/>
          <w:sz w:val="24"/>
        </w:rPr>
        <w:t>】</w:t>
      </w:r>
    </w:p>
    <w:p w:rsidR="00CA7158" w:rsidRPr="00B00C7C" w:rsidRDefault="00CA7158" w:rsidP="00CA7158">
      <w:pPr>
        <w:spacing w:line="320" w:lineRule="exact"/>
        <w:ind w:firstLineChars="300" w:firstLine="720"/>
        <w:rPr>
          <w:rFonts w:ascii="宋体" w:hAnsi="宋体" w:hint="eastAsia"/>
          <w:sz w:val="24"/>
        </w:rPr>
      </w:pPr>
      <w:r w:rsidRPr="00B00C7C">
        <w:rPr>
          <w:rFonts w:ascii="宋体" w:hAnsi="宋体" w:hint="eastAsia"/>
          <w:sz w:val="24"/>
        </w:rPr>
        <w:t>企业名称：海南制药厂有限公司制药二厂</w:t>
      </w:r>
    </w:p>
    <w:p w:rsidR="00CA7158" w:rsidRPr="00B00C7C" w:rsidRDefault="00CA7158" w:rsidP="00CA7158">
      <w:pPr>
        <w:spacing w:line="320" w:lineRule="exact"/>
        <w:ind w:firstLineChars="300" w:firstLine="720"/>
        <w:rPr>
          <w:rFonts w:ascii="宋体" w:hAnsi="宋体" w:hint="eastAsia"/>
          <w:sz w:val="24"/>
        </w:rPr>
      </w:pPr>
      <w:r w:rsidRPr="00B00C7C">
        <w:rPr>
          <w:rFonts w:ascii="宋体" w:hAnsi="宋体" w:hint="eastAsia"/>
          <w:sz w:val="24"/>
        </w:rPr>
        <w:t>生产地址：林州市</w:t>
      </w:r>
      <w:proofErr w:type="gramStart"/>
      <w:r w:rsidRPr="00B00C7C">
        <w:rPr>
          <w:rFonts w:ascii="宋体" w:hAnsi="宋体" w:hint="eastAsia"/>
          <w:sz w:val="24"/>
        </w:rPr>
        <w:t>史家河</w:t>
      </w:r>
      <w:proofErr w:type="gramEnd"/>
      <w:r w:rsidRPr="00B00C7C">
        <w:rPr>
          <w:rFonts w:ascii="宋体" w:hAnsi="宋体" w:hint="eastAsia"/>
          <w:sz w:val="24"/>
        </w:rPr>
        <w:t>工业园区</w:t>
      </w:r>
    </w:p>
    <w:p w:rsidR="00CA7158" w:rsidRPr="00B00C7C" w:rsidRDefault="00CA7158" w:rsidP="00CA7158">
      <w:pPr>
        <w:spacing w:line="320" w:lineRule="exact"/>
        <w:ind w:firstLineChars="300" w:firstLine="720"/>
        <w:rPr>
          <w:rFonts w:ascii="宋体" w:hAnsi="宋体" w:hint="eastAsia"/>
          <w:sz w:val="24"/>
        </w:rPr>
      </w:pPr>
      <w:r w:rsidRPr="00B00C7C">
        <w:rPr>
          <w:rFonts w:ascii="宋体" w:hAnsi="宋体" w:hint="eastAsia"/>
          <w:sz w:val="24"/>
        </w:rPr>
        <w:t>邮政编码：456592</w:t>
      </w:r>
    </w:p>
    <w:p w:rsidR="00CA7158" w:rsidRPr="00B00C7C" w:rsidRDefault="00CA7158" w:rsidP="00CA7158">
      <w:pPr>
        <w:spacing w:line="320" w:lineRule="exact"/>
        <w:ind w:firstLineChars="300" w:firstLine="720"/>
        <w:rPr>
          <w:rFonts w:ascii="宋体" w:hAnsi="宋体" w:hint="eastAsia"/>
          <w:sz w:val="24"/>
        </w:rPr>
      </w:pPr>
      <w:r w:rsidRPr="00B00C7C">
        <w:rPr>
          <w:rFonts w:ascii="宋体" w:hAnsi="宋体" w:hint="eastAsia"/>
          <w:sz w:val="24"/>
        </w:rPr>
        <w:t>电话号码：0372-6515111</w:t>
      </w:r>
    </w:p>
    <w:p w:rsidR="00CA7158" w:rsidRPr="00B00C7C" w:rsidRDefault="00CA7158" w:rsidP="00CA7158">
      <w:pPr>
        <w:spacing w:line="320" w:lineRule="exact"/>
        <w:ind w:firstLineChars="300" w:firstLine="720"/>
        <w:rPr>
          <w:rFonts w:ascii="宋体" w:hAnsi="宋体"/>
          <w:sz w:val="24"/>
        </w:rPr>
      </w:pPr>
      <w:r w:rsidRPr="00B00C7C">
        <w:rPr>
          <w:rFonts w:ascii="宋体" w:hAnsi="宋体" w:hint="eastAsia"/>
          <w:sz w:val="24"/>
        </w:rPr>
        <w:t xml:space="preserve">传真号码：0372-6515111 </w:t>
      </w:r>
    </w:p>
    <w:p w:rsidR="008E4DC2" w:rsidRDefault="008E4DC2"/>
    <w:sectPr w:rsidR="008E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58"/>
    <w:rsid w:val="000F1E20"/>
    <w:rsid w:val="008E4DC2"/>
    <w:rsid w:val="00CA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拼音"/>
    <w:basedOn w:val="a4"/>
    <w:rsid w:val="00CA7158"/>
    <w:pPr>
      <w:adjustRightInd w:val="0"/>
      <w:snapToGrid w:val="0"/>
      <w:spacing w:line="314" w:lineRule="atLeast"/>
    </w:pPr>
    <w:rPr>
      <w:rFonts w:ascii="宋体"/>
      <w:szCs w:val="24"/>
    </w:rPr>
  </w:style>
  <w:style w:type="paragraph" w:customStyle="1" w:styleId="a5">
    <w:name w:val="正文（括号）"/>
    <w:basedOn w:val="a4"/>
    <w:rsid w:val="00CA7158"/>
    <w:pPr>
      <w:adjustRightInd w:val="0"/>
      <w:snapToGrid w:val="0"/>
      <w:spacing w:line="314" w:lineRule="atLeast"/>
      <w:ind w:firstLine="352"/>
      <w:textAlignment w:val="baseline"/>
    </w:pPr>
    <w:rPr>
      <w:kern w:val="0"/>
    </w:rPr>
  </w:style>
  <w:style w:type="paragraph" w:styleId="a4">
    <w:name w:val="Normal Indent"/>
    <w:basedOn w:val="a"/>
    <w:rsid w:val="00CA7158"/>
    <w:pPr>
      <w:ind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拼音"/>
    <w:basedOn w:val="a4"/>
    <w:rsid w:val="00CA7158"/>
    <w:pPr>
      <w:adjustRightInd w:val="0"/>
      <w:snapToGrid w:val="0"/>
      <w:spacing w:line="314" w:lineRule="atLeast"/>
    </w:pPr>
    <w:rPr>
      <w:rFonts w:ascii="宋体"/>
      <w:szCs w:val="24"/>
    </w:rPr>
  </w:style>
  <w:style w:type="paragraph" w:customStyle="1" w:styleId="a5">
    <w:name w:val="正文（括号）"/>
    <w:basedOn w:val="a4"/>
    <w:rsid w:val="00CA7158"/>
    <w:pPr>
      <w:adjustRightInd w:val="0"/>
      <w:snapToGrid w:val="0"/>
      <w:spacing w:line="314" w:lineRule="atLeast"/>
      <w:ind w:firstLine="352"/>
      <w:textAlignment w:val="baseline"/>
    </w:pPr>
    <w:rPr>
      <w:kern w:val="0"/>
    </w:rPr>
  </w:style>
  <w:style w:type="paragraph" w:styleId="a4">
    <w:name w:val="Normal Indent"/>
    <w:basedOn w:val="a"/>
    <w:rsid w:val="00CA7158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Company>2012dnd.com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2024-10-19T01:56:00Z</dcterms:created>
  <dcterms:modified xsi:type="dcterms:W3CDTF">2024-10-19T01:57:00Z</dcterms:modified>
</cp:coreProperties>
</file>