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28C" w:rsidRPr="005E2006" w:rsidRDefault="0068428C" w:rsidP="0068428C">
      <w:pPr>
        <w:pStyle w:val="a3"/>
        <w:spacing w:line="0" w:lineRule="atLeast"/>
        <w:ind w:firstLineChars="67" w:firstLine="141"/>
        <w:rPr>
          <w:rFonts w:ascii="宋体" w:hAnsi="宋体"/>
          <w:szCs w:val="21"/>
        </w:rPr>
      </w:pPr>
      <w:r>
        <w:rPr>
          <w:rFonts w:ascii="宋体" w:hAnsi="宋体"/>
          <w:noProof/>
          <w:szCs w:val="21"/>
        </w:rPr>
        <mc:AlternateContent>
          <mc:Choice Requires="wpg">
            <w:drawing>
              <wp:anchor distT="0" distB="0" distL="114300" distR="114300" simplePos="0" relativeHeight="251659264" behindDoc="0" locked="0" layoutInCell="1" allowOverlap="1" wp14:anchorId="482FE31A" wp14:editId="70284139">
                <wp:simplePos x="0" y="0"/>
                <wp:positionH relativeFrom="column">
                  <wp:posOffset>4331970</wp:posOffset>
                </wp:positionH>
                <wp:positionV relativeFrom="paragraph">
                  <wp:posOffset>92710</wp:posOffset>
                </wp:positionV>
                <wp:extent cx="666750" cy="605155"/>
                <wp:effectExtent l="0" t="0" r="0" b="4445"/>
                <wp:wrapNone/>
                <wp:docPr id="3"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 cy="605155"/>
                          <a:chOff x="8660" y="5426"/>
                          <a:chExt cx="1050" cy="964"/>
                        </a:xfrm>
                      </wpg:grpSpPr>
                      <wpg:grpSp>
                        <wpg:cNvPr id="4" name="组合 4"/>
                        <wpg:cNvGrpSpPr>
                          <a:grpSpLocks/>
                        </wpg:cNvGrpSpPr>
                        <wpg:grpSpPr bwMode="auto">
                          <a:xfrm>
                            <a:off x="8770" y="5648"/>
                            <a:ext cx="682" cy="654"/>
                            <a:chOff x="7934" y="2110"/>
                            <a:chExt cx="682" cy="654"/>
                          </a:xfrm>
                        </wpg:grpSpPr>
                        <wps:wsp>
                          <wps:cNvPr id="5" name="文本框 5"/>
                          <wps:cNvSpPr txBox="1">
                            <a:spLocks noChangeArrowheads="1"/>
                          </wps:cNvSpPr>
                          <wps:spPr bwMode="auto">
                            <a:xfrm>
                              <a:off x="7940" y="2124"/>
                              <a:ext cx="333" cy="318"/>
                            </a:xfrm>
                            <a:prstGeom prst="rect">
                              <a:avLst/>
                            </a:prstGeom>
                            <a:noFill/>
                            <a:ln w="15875">
                              <a:solidFill>
                                <a:srgbClr val="33CC33"/>
                              </a:solidFill>
                              <a:miter lim="800000"/>
                              <a:headEnd/>
                              <a:tailEnd/>
                            </a:ln>
                            <a:extLst>
                              <a:ext uri="{909E8E84-426E-40DD-AFC4-6F175D3DCCD1}">
                                <a14:hiddenFill xmlns:a14="http://schemas.microsoft.com/office/drawing/2010/main">
                                  <a:solidFill>
                                    <a:srgbClr val="FFFFFF"/>
                                  </a:solidFill>
                                </a14:hiddenFill>
                              </a:ext>
                            </a:extLst>
                          </wps:spPr>
                          <wps:txbx>
                            <w:txbxContent>
                              <w:p w:rsidR="0068428C" w:rsidRDefault="0068428C" w:rsidP="0068428C">
                                <w:pPr>
                                  <w:rPr>
                                    <w:color w:val="33CC33"/>
                                    <w:sz w:val="18"/>
                                  </w:rPr>
                                </w:pPr>
                              </w:p>
                            </w:txbxContent>
                          </wps:txbx>
                          <wps:bodyPr rot="0" vert="horz" wrap="square" lIns="91440" tIns="45720" rIns="91440" bIns="45720" anchor="t" anchorCtr="0" upright="1">
                            <a:noAutofit/>
                          </wps:bodyPr>
                        </wps:wsp>
                        <wps:wsp>
                          <wps:cNvPr id="6" name="文本框 6"/>
                          <wps:cNvSpPr txBox="1">
                            <a:spLocks noChangeArrowheads="1"/>
                          </wps:cNvSpPr>
                          <wps:spPr bwMode="auto">
                            <a:xfrm>
                              <a:off x="8282" y="2110"/>
                              <a:ext cx="333" cy="318"/>
                            </a:xfrm>
                            <a:prstGeom prst="rect">
                              <a:avLst/>
                            </a:prstGeom>
                            <a:solidFill>
                              <a:srgbClr val="33CC33"/>
                            </a:solidFill>
                            <a:ln w="12700">
                              <a:solidFill>
                                <a:srgbClr val="33CC33"/>
                              </a:solidFill>
                              <a:miter lim="800000"/>
                              <a:headEnd/>
                              <a:tailEnd/>
                            </a:ln>
                          </wps:spPr>
                          <wps:txbx>
                            <w:txbxContent>
                              <w:p w:rsidR="0068428C" w:rsidRDefault="0068428C" w:rsidP="0068428C">
                                <w:pPr>
                                  <w:rPr>
                                    <w:color w:val="FFFFFF"/>
                                    <w:sz w:val="18"/>
                                  </w:rPr>
                                </w:pPr>
                              </w:p>
                            </w:txbxContent>
                          </wps:txbx>
                          <wps:bodyPr rot="0" vert="horz" wrap="square" lIns="91440" tIns="45720" rIns="91440" bIns="45720" anchor="t" anchorCtr="0" upright="1">
                            <a:noAutofit/>
                          </wps:bodyPr>
                        </wps:wsp>
                        <wps:wsp>
                          <wps:cNvPr id="7" name="文本框 7"/>
                          <wps:cNvSpPr txBox="1">
                            <a:spLocks noChangeArrowheads="1"/>
                          </wps:cNvSpPr>
                          <wps:spPr bwMode="auto">
                            <a:xfrm>
                              <a:off x="8283" y="2441"/>
                              <a:ext cx="333" cy="318"/>
                            </a:xfrm>
                            <a:prstGeom prst="rect">
                              <a:avLst/>
                            </a:prstGeom>
                            <a:noFill/>
                            <a:ln w="15875">
                              <a:solidFill>
                                <a:srgbClr val="33CC33"/>
                              </a:solidFill>
                              <a:miter lim="800000"/>
                              <a:headEnd/>
                              <a:tailEnd/>
                            </a:ln>
                            <a:extLst>
                              <a:ext uri="{909E8E84-426E-40DD-AFC4-6F175D3DCCD1}">
                                <a14:hiddenFill xmlns:a14="http://schemas.microsoft.com/office/drawing/2010/main">
                                  <a:solidFill>
                                    <a:srgbClr val="FFFFFF"/>
                                  </a:solidFill>
                                </a14:hiddenFill>
                              </a:ext>
                            </a:extLst>
                          </wps:spPr>
                          <wps:txbx>
                            <w:txbxContent>
                              <w:p w:rsidR="0068428C" w:rsidRDefault="0068428C" w:rsidP="0068428C">
                                <w:pPr>
                                  <w:rPr>
                                    <w:color w:val="33CC33"/>
                                    <w:sz w:val="18"/>
                                  </w:rPr>
                                </w:pPr>
                              </w:p>
                            </w:txbxContent>
                          </wps:txbx>
                          <wps:bodyPr rot="0" vert="horz" wrap="square" lIns="91440" tIns="45720" rIns="91440" bIns="45720" anchor="t" anchorCtr="0" upright="1">
                            <a:noAutofit/>
                          </wps:bodyPr>
                        </wps:wsp>
                        <wps:wsp>
                          <wps:cNvPr id="8" name="文本框 8"/>
                          <wps:cNvSpPr txBox="1">
                            <a:spLocks noChangeArrowheads="1"/>
                          </wps:cNvSpPr>
                          <wps:spPr bwMode="auto">
                            <a:xfrm>
                              <a:off x="7934" y="2446"/>
                              <a:ext cx="333" cy="318"/>
                            </a:xfrm>
                            <a:prstGeom prst="rect">
                              <a:avLst/>
                            </a:prstGeom>
                            <a:solidFill>
                              <a:srgbClr val="33CC33"/>
                            </a:solidFill>
                            <a:ln w="9525">
                              <a:solidFill>
                                <a:srgbClr val="33CC33"/>
                              </a:solidFill>
                              <a:miter lim="800000"/>
                              <a:headEnd/>
                              <a:tailEnd/>
                            </a:ln>
                          </wps:spPr>
                          <wps:txbx>
                            <w:txbxContent>
                              <w:p w:rsidR="0068428C" w:rsidRDefault="0068428C" w:rsidP="0068428C">
                                <w:pPr>
                                  <w:rPr>
                                    <w:color w:val="FFFFFF"/>
                                    <w:sz w:val="18"/>
                                  </w:rPr>
                                </w:pPr>
                              </w:p>
                            </w:txbxContent>
                          </wps:txbx>
                          <wps:bodyPr rot="0" vert="horz" wrap="square" lIns="91440" tIns="45720" rIns="91440" bIns="45720" anchor="t" anchorCtr="0" upright="1">
                            <a:noAutofit/>
                          </wps:bodyPr>
                        </wps:wsp>
                      </wpg:grpSp>
                      <wpg:grpSp>
                        <wpg:cNvPr id="9" name="组合 9"/>
                        <wpg:cNvGrpSpPr>
                          <a:grpSpLocks/>
                        </wpg:cNvGrpSpPr>
                        <wpg:grpSpPr bwMode="auto">
                          <a:xfrm>
                            <a:off x="8660" y="5426"/>
                            <a:ext cx="1050" cy="964"/>
                            <a:chOff x="8660" y="5426"/>
                            <a:chExt cx="1050" cy="964"/>
                          </a:xfrm>
                        </wpg:grpSpPr>
                        <wps:wsp>
                          <wps:cNvPr id="10" name="文本框 10"/>
                          <wps:cNvSpPr txBox="1">
                            <a:spLocks noChangeArrowheads="1"/>
                          </wps:cNvSpPr>
                          <wps:spPr bwMode="auto">
                            <a:xfrm>
                              <a:off x="8990" y="5442"/>
                              <a:ext cx="720"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28C" w:rsidRDefault="0068428C" w:rsidP="0068428C">
                                <w:pPr>
                                  <w:rPr>
                                    <w:color w:val="FFFFFF"/>
                                    <w:sz w:val="28"/>
                                  </w:rPr>
                                </w:pPr>
                                <w:r>
                                  <w:rPr>
                                    <w:rFonts w:hint="eastAsia"/>
                                    <w:color w:val="FFFFFF"/>
                                    <w:sz w:val="28"/>
                                  </w:rPr>
                                  <w:t>神</w:t>
                                </w:r>
                              </w:p>
                            </w:txbxContent>
                          </wps:txbx>
                          <wps:bodyPr rot="0" vert="horz" wrap="square" lIns="91440" tIns="45720" rIns="91440" bIns="45720" anchor="t" anchorCtr="0" upright="1">
                            <a:noAutofit/>
                          </wps:bodyPr>
                        </wps:wsp>
                        <wps:wsp>
                          <wps:cNvPr id="11" name="文本框 11"/>
                          <wps:cNvSpPr txBox="1">
                            <a:spLocks noChangeArrowheads="1"/>
                          </wps:cNvSpPr>
                          <wps:spPr bwMode="auto">
                            <a:xfrm>
                              <a:off x="8660" y="5426"/>
                              <a:ext cx="720"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28C" w:rsidRDefault="0068428C" w:rsidP="0068428C">
                                <w:pPr>
                                  <w:rPr>
                                    <w:color w:val="33CC33"/>
                                    <w:sz w:val="28"/>
                                  </w:rPr>
                                </w:pPr>
                                <w:r>
                                  <w:rPr>
                                    <w:rFonts w:hint="eastAsia"/>
                                    <w:color w:val="33CC33"/>
                                    <w:sz w:val="28"/>
                                  </w:rPr>
                                  <w:t>精</w:t>
                                </w:r>
                              </w:p>
                            </w:txbxContent>
                          </wps:txbx>
                          <wps:bodyPr rot="0" vert="horz" wrap="square" lIns="91440" tIns="45720" rIns="91440" bIns="45720" anchor="t" anchorCtr="0" upright="1">
                            <a:noAutofit/>
                          </wps:bodyPr>
                        </wps:wsp>
                        <wps:wsp>
                          <wps:cNvPr id="12" name="文本框 12"/>
                          <wps:cNvSpPr txBox="1">
                            <a:spLocks noChangeArrowheads="1"/>
                          </wps:cNvSpPr>
                          <wps:spPr bwMode="auto">
                            <a:xfrm>
                              <a:off x="8990" y="5774"/>
                              <a:ext cx="720"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28C" w:rsidRDefault="0068428C" w:rsidP="0068428C">
                                <w:pPr>
                                  <w:rPr>
                                    <w:color w:val="33CC33"/>
                                    <w:sz w:val="28"/>
                                  </w:rPr>
                                </w:pPr>
                                <w:r>
                                  <w:rPr>
                                    <w:rFonts w:hint="eastAsia"/>
                                    <w:color w:val="33CC33"/>
                                    <w:sz w:val="28"/>
                                  </w:rPr>
                                  <w:t>品</w:t>
                                </w:r>
                              </w:p>
                            </w:txbxContent>
                          </wps:txbx>
                          <wps:bodyPr rot="0" vert="horz" wrap="square" lIns="91440" tIns="45720" rIns="91440" bIns="45720" anchor="t" anchorCtr="0" upright="1">
                            <a:noAutofit/>
                          </wps:bodyPr>
                        </wps:wsp>
                        <wps:wsp>
                          <wps:cNvPr id="13" name="文本框 13"/>
                          <wps:cNvSpPr txBox="1">
                            <a:spLocks noChangeArrowheads="1"/>
                          </wps:cNvSpPr>
                          <wps:spPr bwMode="auto">
                            <a:xfrm>
                              <a:off x="8660" y="5770"/>
                              <a:ext cx="720"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28C" w:rsidRDefault="0068428C" w:rsidP="0068428C">
                                <w:pPr>
                                  <w:rPr>
                                    <w:color w:val="FFFFFF"/>
                                    <w:sz w:val="28"/>
                                  </w:rPr>
                                </w:pPr>
                                <w:r>
                                  <w:rPr>
                                    <w:rFonts w:hint="eastAsia"/>
                                    <w:color w:val="FFFFFF"/>
                                    <w:sz w:val="28"/>
                                  </w:rPr>
                                  <w:t>药</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组合 3" o:spid="_x0000_s1026" style="position:absolute;left:0;text-align:left;margin-left:341.1pt;margin-top:7.3pt;width:52.5pt;height:47.65pt;z-index:251659264" coordorigin="8660,5426" coordsize="1050,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6a2IgUAAGsiAAAOAAAAZHJzL2Uyb0RvYy54bWzsWs1y40QQvlPFO6h0dyzJ+q84W4kdp6gK&#10;sFULDzCWZEuFpBEzSuSwtTeK3SMnTly48wY8D+E16OnRj3/iIptsHALKwZE00ri75+tv+mv5+NUq&#10;S5XriPGE5mNVP9JUJcoDGib5cqx++81s4KoKL0kekpTm0Vi9ibj66uTzz46rwo8MGtM0jJgCk+Tc&#10;r4qxGpdl4Q+HPIijjPAjWkQ5DC4oy0gJp2w5DBmpYPYsHRqaZg8rysKC0SDiHK5O5aB6gvMvFlFQ&#10;fr1Y8KhU0rEKtpX4yfBzLj6HJ8fEXzJSxElQm0EeYEVGkhy+tJ1qSkqiXLFkZ6osCRjldFEeBTQb&#10;0sUiCSL0AbzRtS1vLhi9KtCXpV8tizZMENqtOD142uCr69dMScKxOlKVnGSwRH/98eOfP39QRiI2&#10;VbH04ZYLVrwpXjPpIBxe0uA7DsPD7XFxvpQ3K/PqSxrCfOSqpBib1YJlYgrwWlnhEty0SxCtSiWA&#10;i7ZtOxYsVABDtmbpliWXKIhhHcVTrm3DMIxapmE3Y+f107rWPOvZphgcEl9+K1paWybdwpPWwzoI&#10;5lYQcJJtJ8Uqf6oguI5Tu2ObrnSnDYVr1HGw0Azit0FwvBFYCkEwdL3GcBA3QbC3ntsbA8g43oGK&#10;Pw5Ub2JSRIhVLhBTx9Nq4nn7y/vbX3+//e0nBRe0KvAuASqlXJ1RWFgdMcIltpScTmKSL6NTxmgV&#10;RyQE83Rc0bVHxepxn4tJ/glsjmfKOBu6UUezifNoBNAXeBvpuAJtvIhfMF5eRDRTxMFYZUAnaCW5&#10;vuSlhFdziwB2TmdJmsJ14qe5UoHFlutY0i+aJqEYFYOcLeeTlCnXBFhpNJpMwAI5G1+/LUtK4MY0&#10;yQD1mviT+BDROM9D/JqSJKk8BqvTXEwOboFx9ZHkoLee5p275645gJw5H5jadDo4nU3MgT3THWs6&#10;mk4mU/2dsFM3/TgJwygXpjZ8qJv3g0bNzJLJWkbccGnD8xn+7Xo+3DQDsxi8av6jd5DPcuUlBsrV&#10;fAUBERfnNLwBQDAquR72JjiIKftBVSrg+bHKv78iLFKV9IscQOXppkBGiSem5RhwwtZH5usjJA9g&#10;qrFaqoo8nJRyM7kqWLKM4ZskjHN6Cqy3SBAknVXImJh20tYnzz97N/+QNIVJkKWHyz/XEKy0wVif&#10;Pv/2Q21/ktWJajiQXpib6xm4Adf9czwkUe8AMG7DSHIdYnocY1ScXRw7gjieA8ewWwgcmyYuFRIu&#10;li79PvLf2EcQcEaDrn47WSvnQMxJjdCVc1gyHTwNuwLYNGsV8G/aTjzLOGzZt283qUXcy6mKOp0m&#10;yL0Wk/KwUxVeA8NaqnoyWZ9Oqt4hOhu47UjONZl2x2OdTNt5sNUdXQyE5Ba59eR1IqjIncyWyvLg&#10;qe16nlRqlmkiC3c7LBbn2BnQMenbiD1OqYmyr5Vu/wcdJSOK7am3Huhh7czwBjPbdQbmzLQGnqO5&#10;A033zjxbMz1zOtuUhpdJHj1eGgp5fA+aRN2LwhcWZqO+/8iiu1W2wvxGSjb/90lKLAXqHtDL4dDD&#10;MIZ+B2O04uWw2nK3Jdiwc88Yd/acPrrz0jOGaCUDqu7FGG2LsxcPa+JBhwbQtnqAa8+i4tsaw3G2&#10;usE9Y/SM0TbqD1ZjtE3ZnjHWGaN9J9n1G/RW0j5TjSFe2OG7l77GEK+y9rbL+xrjHu/sHq5K2vb3&#10;S2GMrquBb8HwFw1YTdW/vhA/mVg/x7u634ic/A0AAP//AwBQSwMEFAAGAAgAAAAhAFEU0gDgAAAA&#10;CgEAAA8AAABkcnMvZG93bnJldi54bWxMj0FPg0AQhe8m/ofNmHizC6iUUpamadRT08TWxPS2hSmQ&#10;srOE3QL9944nPc57X968l60m04oBe9dYUhDOAhBIhS0bqhR8Hd6fEhDOayp1awkV3NDBKr+/y3Ra&#10;2pE+cdj7SnAIuVQrqL3vUildUaPRbmY7JPbOtjfa89lXsuz1yOGmlVEQxNLohvhDrTvc1Fhc9lej&#10;4GPU4/o5fBu2l/Pmdjy87r63ISr1+DCtlyA8Tv4Pht/6XB1y7nSyVyqdaBXESRQxysZLDIKBeTJn&#10;4cRCsFiAzDP5f0L+AwAA//8DAFBLAQItABQABgAIAAAAIQC2gziS/gAAAOEBAAATAAAAAAAAAAAA&#10;AAAAAAAAAABbQ29udGVudF9UeXBlc10ueG1sUEsBAi0AFAAGAAgAAAAhADj9If/WAAAAlAEAAAsA&#10;AAAAAAAAAAAAAAAALwEAAF9yZWxzLy5yZWxzUEsBAi0AFAAGAAgAAAAhAH1fprYiBQAAayIAAA4A&#10;AAAAAAAAAAAAAAAALgIAAGRycy9lMm9Eb2MueG1sUEsBAi0AFAAGAAgAAAAhAFEU0gDgAAAACgEA&#10;AA8AAAAAAAAAAAAAAAAAfAcAAGRycy9kb3ducmV2LnhtbFBLBQYAAAAABAAEAPMAAACJCAAAAAA=&#10;">
                <v:group id="组合 4" o:spid="_x0000_s1027" style="position:absolute;left:8770;top:5648;width:682;height:654" coordorigin="7934,2110" coordsize="682,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文本框 5" o:spid="_x0000_s1028" type="#_x0000_t202" style="position:absolute;left:7940;top:2124;width:333;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Xr8UA&#10;AADaAAAADwAAAGRycy9kb3ducmV2LnhtbESPQWvCQBSE7wX/w/KEXoputGhrdCMiLbWgh2oPHh/Z&#10;ZxKSfRt2tzH9911B6HGYmW+Y1bo3jejI+cqygsk4AUGcW11xoeD79D56BeEDssbGMin4JQ/rbPCw&#10;wlTbK39RdwyFiBD2KSooQ2hTKX1ekkE/ti1x9C7WGQxRukJqh9cIN42cJslcGqw4LpTY0rakvD7+&#10;GAXd8/zpsDh/Ts70sdkWb/sX09ZOqcdhv1mCCNSH//C9vdMKZnC7Em+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UBevxQAAANoAAAAPAAAAAAAAAAAAAAAAAJgCAABkcnMv&#10;ZG93bnJldi54bWxQSwUGAAAAAAQABAD1AAAAigMAAAAA&#10;" filled="f" strokecolor="#3c3" strokeweight="1.25pt">
                    <v:textbox>
                      <w:txbxContent>
                        <w:p w:rsidR="0068428C" w:rsidRDefault="0068428C" w:rsidP="0068428C">
                          <w:pPr>
                            <w:rPr>
                              <w:rFonts w:hint="eastAsia"/>
                              <w:color w:val="33CC33"/>
                              <w:sz w:val="18"/>
                            </w:rPr>
                          </w:pPr>
                        </w:p>
                      </w:txbxContent>
                    </v:textbox>
                  </v:shape>
                  <v:shape id="文本框 6" o:spid="_x0000_s1029" type="#_x0000_t202" style="position:absolute;left:8282;top:2110;width:333;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bJ18IA&#10;AADaAAAADwAAAGRycy9kb3ducmV2LnhtbESPQWvCQBSE7wX/w/IEb80mEaTGrCKCIFILVRGPj+wz&#10;CWbfhuwa03/vFgo9DjPzDZOvBtOInjpXW1aQRDEI4sLqmksF59P2/QOE88gaG8uk4IccrJajtxwz&#10;bZ/8Tf3RlyJA2GWooPK+zaR0RUUGXWRb4uDdbGfQB9mVUnf4DHDTyDSOZ9JgzWGhwpY2FRX348Mo&#10;+KwpnR7aOSf9/rr/ikt5u1+kUpPxsF6A8DT4//Bfe6cVzOD3Srg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dsnXwgAAANoAAAAPAAAAAAAAAAAAAAAAAJgCAABkcnMvZG93&#10;bnJldi54bWxQSwUGAAAAAAQABAD1AAAAhwMAAAAA&#10;" fillcolor="#3c3" strokecolor="#3c3" strokeweight="1pt">
                    <v:textbox>
                      <w:txbxContent>
                        <w:p w:rsidR="0068428C" w:rsidRDefault="0068428C" w:rsidP="0068428C">
                          <w:pPr>
                            <w:rPr>
                              <w:rFonts w:hint="eastAsia"/>
                              <w:color w:val="FFFFFF"/>
                              <w:sz w:val="18"/>
                            </w:rPr>
                          </w:pPr>
                        </w:p>
                      </w:txbxContent>
                    </v:textbox>
                  </v:shape>
                  <v:shape id="文本框 7" o:spid="_x0000_s1030" type="#_x0000_t202" style="position:absolute;left:8283;top:2441;width:333;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4sQ8UA&#10;AADaAAAADwAAAGRycy9kb3ducmV2LnhtbESPzWsCMRTE74L/Q3iCl6JZK/ixNYpIRQvtwY+Dx8fm&#10;dXdx87IkcV3/e1MoeBxm5jfMYtWaSjTkfGlZwWiYgCDOrC45V3A+bQczED4ga6wsk4IHeVgtu50F&#10;ptre+UDNMeQiQtinqKAIoU6l9FlBBv3Q1sTR+7XOYIjS5VI7vEe4qeR7kkykwZLjQoE1bQrKrseb&#10;UdCMJ28/88vX6EK79Sb//J6a+uqU6vfa9QeIQG14hf/be61gCn9X4g2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zixDxQAAANoAAAAPAAAAAAAAAAAAAAAAAJgCAABkcnMv&#10;ZG93bnJldi54bWxQSwUGAAAAAAQABAD1AAAAigMAAAAA&#10;" filled="f" strokecolor="#3c3" strokeweight="1.25pt">
                    <v:textbox>
                      <w:txbxContent>
                        <w:p w:rsidR="0068428C" w:rsidRDefault="0068428C" w:rsidP="0068428C">
                          <w:pPr>
                            <w:rPr>
                              <w:rFonts w:hint="eastAsia"/>
                              <w:color w:val="33CC33"/>
                              <w:sz w:val="18"/>
                            </w:rPr>
                          </w:pPr>
                        </w:p>
                      </w:txbxContent>
                    </v:textbox>
                  </v:shape>
                  <v:shape id="文本框 8" o:spid="_x0000_s1031" type="#_x0000_t202" style="position:absolute;left:7934;top:2446;width:333;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mDK8AA&#10;AADaAAAADwAAAGRycy9kb3ducmV2LnhtbERPTYvCMBC9C/6HMMJeRFM96FKNIuLCnhbU4uJtbMam&#10;u82kNLHWf28OgsfH+16uO1uJlhpfOlYwGScgiHOnSy4UZMev0ScIH5A1Vo5JwYM8rFf93hJT7e68&#10;p/YQChFD2KeowIRQp1L63JBFP3Y1ceSurrEYImwKqRu8x3BbyWmSzKTFkmODwZq2hvL/w80q2A8f&#10;02t5KubhnF9uP7u/LvttjVIfg26zABGoC2/xy/2tFcSt8Uq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emDK8AAAADaAAAADwAAAAAAAAAAAAAAAACYAgAAZHJzL2Rvd25y&#10;ZXYueG1sUEsFBgAAAAAEAAQA9QAAAIUDAAAAAA==&#10;" fillcolor="#3c3" strokecolor="#3c3">
                    <v:textbox>
                      <w:txbxContent>
                        <w:p w:rsidR="0068428C" w:rsidRDefault="0068428C" w:rsidP="0068428C">
                          <w:pPr>
                            <w:rPr>
                              <w:rFonts w:hint="eastAsia"/>
                              <w:color w:val="FFFFFF"/>
                              <w:sz w:val="18"/>
                            </w:rPr>
                          </w:pPr>
                        </w:p>
                      </w:txbxContent>
                    </v:textbox>
                  </v:shape>
                </v:group>
                <v:group id="组合 9" o:spid="_x0000_s1032" style="position:absolute;left:8660;top:5426;width:1050;height:964" coordorigin="8660,5426" coordsize="1050,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文本框 10" o:spid="_x0000_s1033" type="#_x0000_t202" style="position:absolute;left:8990;top:5442;width:720;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68428C" w:rsidRDefault="0068428C" w:rsidP="0068428C">
                          <w:pPr>
                            <w:rPr>
                              <w:rFonts w:hint="eastAsia"/>
                              <w:color w:val="FFFFFF"/>
                              <w:sz w:val="28"/>
                            </w:rPr>
                          </w:pPr>
                          <w:r>
                            <w:rPr>
                              <w:rFonts w:hint="eastAsia"/>
                              <w:color w:val="FFFFFF"/>
                              <w:sz w:val="28"/>
                            </w:rPr>
                            <w:t>神</w:t>
                          </w:r>
                        </w:p>
                      </w:txbxContent>
                    </v:textbox>
                  </v:shape>
                  <v:shape id="文本框 11" o:spid="_x0000_s1034" type="#_x0000_t202" style="position:absolute;left:8660;top:5426;width:720;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68428C" w:rsidRDefault="0068428C" w:rsidP="0068428C">
                          <w:pPr>
                            <w:rPr>
                              <w:rFonts w:hint="eastAsia"/>
                              <w:color w:val="33CC33"/>
                              <w:sz w:val="28"/>
                            </w:rPr>
                          </w:pPr>
                          <w:r>
                            <w:rPr>
                              <w:rFonts w:hint="eastAsia"/>
                              <w:color w:val="33CC33"/>
                              <w:sz w:val="28"/>
                            </w:rPr>
                            <w:t>精</w:t>
                          </w:r>
                        </w:p>
                      </w:txbxContent>
                    </v:textbox>
                  </v:shape>
                  <v:shape id="文本框 12" o:spid="_x0000_s1035" type="#_x0000_t202" style="position:absolute;left:8990;top:5774;width:720;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68428C" w:rsidRDefault="0068428C" w:rsidP="0068428C">
                          <w:pPr>
                            <w:rPr>
                              <w:rFonts w:hint="eastAsia"/>
                              <w:color w:val="33CC33"/>
                              <w:sz w:val="28"/>
                            </w:rPr>
                          </w:pPr>
                          <w:r>
                            <w:rPr>
                              <w:rFonts w:hint="eastAsia"/>
                              <w:color w:val="33CC33"/>
                              <w:sz w:val="28"/>
                            </w:rPr>
                            <w:t>品</w:t>
                          </w:r>
                        </w:p>
                      </w:txbxContent>
                    </v:textbox>
                  </v:shape>
                  <v:shape id="文本框 13" o:spid="_x0000_s1036" type="#_x0000_t202" style="position:absolute;left:8660;top:5770;width:720;height: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68428C" w:rsidRDefault="0068428C" w:rsidP="0068428C">
                          <w:pPr>
                            <w:rPr>
                              <w:rFonts w:hint="eastAsia"/>
                              <w:color w:val="FFFFFF"/>
                              <w:sz w:val="28"/>
                            </w:rPr>
                          </w:pPr>
                          <w:r>
                            <w:rPr>
                              <w:rFonts w:hint="eastAsia"/>
                              <w:color w:val="FFFFFF"/>
                              <w:sz w:val="28"/>
                            </w:rPr>
                            <w:t>药</w:t>
                          </w:r>
                        </w:p>
                      </w:txbxContent>
                    </v:textbox>
                  </v:shape>
                </v:group>
              </v:group>
            </w:pict>
          </mc:Fallback>
        </mc:AlternateContent>
      </w:r>
      <w:r w:rsidRPr="005E2006">
        <w:rPr>
          <w:rFonts w:ascii="宋体" w:hAnsi="宋体"/>
          <w:szCs w:val="21"/>
        </w:rPr>
        <w:t>核准日期：</w:t>
      </w:r>
      <w:r w:rsidRPr="005E2006">
        <w:rPr>
          <w:rFonts w:ascii="宋体" w:hAnsi="宋体" w:hint="eastAsia"/>
          <w:szCs w:val="21"/>
        </w:rPr>
        <w:t>2007年05月28日</w:t>
      </w:r>
    </w:p>
    <w:p w:rsidR="0068428C" w:rsidRPr="005E2006" w:rsidRDefault="0068428C" w:rsidP="0068428C">
      <w:pPr>
        <w:spacing w:line="0" w:lineRule="atLeast"/>
        <w:ind w:firstLineChars="67" w:firstLine="141"/>
        <w:rPr>
          <w:rFonts w:ascii="宋体" w:hAnsi="宋体"/>
          <w:szCs w:val="21"/>
        </w:rPr>
      </w:pPr>
      <w:r w:rsidRPr="005E2006">
        <w:rPr>
          <w:rFonts w:ascii="宋体" w:hAnsi="宋体" w:hint="eastAsia"/>
          <w:szCs w:val="21"/>
        </w:rPr>
        <w:t>修订日期：2009年01月06日</w:t>
      </w:r>
    </w:p>
    <w:p w:rsidR="0068428C" w:rsidRPr="005E2006" w:rsidRDefault="0068428C" w:rsidP="0068428C">
      <w:pPr>
        <w:spacing w:line="0" w:lineRule="atLeast"/>
        <w:ind w:firstLineChars="67" w:firstLine="141"/>
        <w:rPr>
          <w:rFonts w:ascii="宋体" w:hAnsi="宋体"/>
          <w:szCs w:val="21"/>
        </w:rPr>
      </w:pPr>
      <w:r w:rsidRPr="005E2006">
        <w:rPr>
          <w:rFonts w:ascii="宋体" w:hAnsi="宋体" w:hint="eastAsia"/>
          <w:szCs w:val="21"/>
        </w:rPr>
        <w:t>修订日期：2010年10月01日</w:t>
      </w:r>
    </w:p>
    <w:p w:rsidR="0068428C" w:rsidRPr="005E2006" w:rsidRDefault="0068428C" w:rsidP="0068428C">
      <w:pPr>
        <w:spacing w:line="0" w:lineRule="atLeast"/>
        <w:ind w:firstLineChars="67" w:firstLine="141"/>
        <w:rPr>
          <w:rFonts w:ascii="宋体" w:hAnsi="宋体"/>
          <w:szCs w:val="21"/>
        </w:rPr>
      </w:pPr>
      <w:r w:rsidRPr="005E2006">
        <w:rPr>
          <w:rFonts w:ascii="宋体" w:hAnsi="宋体" w:hint="eastAsia"/>
          <w:szCs w:val="21"/>
        </w:rPr>
        <w:t>修订日期：2011年06月23日</w:t>
      </w:r>
    </w:p>
    <w:p w:rsidR="0068428C" w:rsidRPr="005E2006" w:rsidRDefault="0068428C" w:rsidP="0068428C">
      <w:pPr>
        <w:spacing w:line="0" w:lineRule="atLeast"/>
        <w:ind w:firstLineChars="67" w:firstLine="141"/>
        <w:rPr>
          <w:rFonts w:ascii="宋体" w:hAnsi="宋体"/>
          <w:szCs w:val="21"/>
        </w:rPr>
      </w:pPr>
      <w:r w:rsidRPr="005E2006">
        <w:rPr>
          <w:rFonts w:ascii="宋体" w:hAnsi="宋体" w:hint="eastAsia"/>
          <w:szCs w:val="21"/>
        </w:rPr>
        <w:t>修订日期：2015年12月01日</w:t>
      </w:r>
    </w:p>
    <w:p w:rsidR="0068428C" w:rsidRPr="005E2006" w:rsidRDefault="0068428C" w:rsidP="0068428C">
      <w:pPr>
        <w:spacing w:line="0" w:lineRule="atLeast"/>
        <w:ind w:firstLineChars="67" w:firstLine="141"/>
        <w:rPr>
          <w:rFonts w:ascii="宋体" w:hAnsi="宋体"/>
          <w:szCs w:val="21"/>
        </w:rPr>
      </w:pPr>
      <w:r w:rsidRPr="005E2006">
        <w:rPr>
          <w:rFonts w:ascii="宋体" w:hAnsi="宋体" w:hint="eastAsia"/>
          <w:szCs w:val="21"/>
        </w:rPr>
        <w:t>修订日期：2019年12月01日</w:t>
      </w:r>
    </w:p>
    <w:p w:rsidR="0068428C" w:rsidRPr="005E2006" w:rsidRDefault="0068428C" w:rsidP="0068428C">
      <w:pPr>
        <w:spacing w:line="0" w:lineRule="atLeast"/>
        <w:ind w:firstLineChars="67" w:firstLine="141"/>
        <w:rPr>
          <w:rFonts w:ascii="宋体" w:hAnsi="宋体"/>
          <w:szCs w:val="21"/>
        </w:rPr>
      </w:pPr>
      <w:r w:rsidRPr="005E2006">
        <w:rPr>
          <w:rFonts w:ascii="宋体" w:hAnsi="宋体" w:hint="eastAsia"/>
          <w:szCs w:val="21"/>
        </w:rPr>
        <w:t>修订日期：2020年12月30日</w:t>
      </w:r>
    </w:p>
    <w:p w:rsidR="0068428C" w:rsidRPr="005E2006" w:rsidRDefault="0068428C" w:rsidP="0068428C">
      <w:pPr>
        <w:spacing w:line="0" w:lineRule="atLeast"/>
        <w:ind w:firstLineChars="67" w:firstLine="141"/>
        <w:rPr>
          <w:rFonts w:ascii="宋体" w:hAnsi="宋体"/>
          <w:szCs w:val="21"/>
        </w:rPr>
      </w:pPr>
      <w:r w:rsidRPr="005E2006">
        <w:rPr>
          <w:rFonts w:ascii="宋体" w:hAnsi="宋体" w:hint="eastAsia"/>
          <w:szCs w:val="21"/>
        </w:rPr>
        <w:t>修订日期：</w:t>
      </w:r>
      <w:r>
        <w:rPr>
          <w:rFonts w:ascii="宋体" w:hAnsi="宋体" w:hint="eastAsia"/>
          <w:szCs w:val="21"/>
        </w:rPr>
        <w:t>2023年07月11日</w:t>
      </w:r>
    </w:p>
    <w:p w:rsidR="0068428C" w:rsidRPr="00144CD5" w:rsidRDefault="0068428C" w:rsidP="0068428C">
      <w:pPr>
        <w:spacing w:line="360" w:lineRule="exact"/>
        <w:ind w:firstLineChars="50" w:firstLine="120"/>
        <w:rPr>
          <w:rFonts w:ascii="宋体" w:hAnsi="宋体"/>
          <w:sz w:val="24"/>
        </w:rPr>
      </w:pPr>
      <w:r>
        <w:rPr>
          <w:rFonts w:ascii="宋体" w:hAnsi="宋体"/>
          <w:b/>
          <w:noProof/>
          <w:sz w:val="24"/>
        </w:rPr>
        <w:drawing>
          <wp:anchor distT="0" distB="0" distL="114300" distR="114300" simplePos="0" relativeHeight="251660288" behindDoc="0" locked="0" layoutInCell="1" allowOverlap="1">
            <wp:simplePos x="0" y="0"/>
            <wp:positionH relativeFrom="column">
              <wp:posOffset>125095</wp:posOffset>
            </wp:positionH>
            <wp:positionV relativeFrom="paragraph">
              <wp:posOffset>74295</wp:posOffset>
            </wp:positionV>
            <wp:extent cx="313055" cy="368300"/>
            <wp:effectExtent l="0" t="0" r="0" b="0"/>
            <wp:wrapNone/>
            <wp:docPr id="2" name="图片 2" descr="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标"/>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055" cy="36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428C" w:rsidRPr="0062200C" w:rsidRDefault="0068428C" w:rsidP="0068428C">
      <w:pPr>
        <w:spacing w:line="360" w:lineRule="exact"/>
        <w:jc w:val="center"/>
        <w:rPr>
          <w:rFonts w:ascii="宋体" w:hAnsi="宋体"/>
          <w:b/>
          <w:sz w:val="32"/>
          <w:szCs w:val="32"/>
        </w:rPr>
      </w:pPr>
      <w:bookmarkStart w:id="0" w:name="_GoBack"/>
      <w:r w:rsidRPr="0062200C">
        <w:rPr>
          <w:rFonts w:ascii="宋体" w:hAnsi="宋体" w:hint="eastAsia"/>
          <w:b/>
          <w:sz w:val="32"/>
          <w:szCs w:val="32"/>
        </w:rPr>
        <w:t>地西</w:t>
      </w:r>
      <w:proofErr w:type="gramStart"/>
      <w:r w:rsidRPr="0062200C">
        <w:rPr>
          <w:rFonts w:ascii="宋体" w:hAnsi="宋体" w:hint="eastAsia"/>
          <w:b/>
          <w:sz w:val="32"/>
          <w:szCs w:val="32"/>
        </w:rPr>
        <w:t>泮</w:t>
      </w:r>
      <w:proofErr w:type="gramEnd"/>
      <w:r w:rsidRPr="0062200C">
        <w:rPr>
          <w:rFonts w:ascii="宋体" w:hAnsi="宋体"/>
          <w:b/>
          <w:sz w:val="32"/>
          <w:szCs w:val="32"/>
        </w:rPr>
        <w:t>注射液说明书</w:t>
      </w:r>
    </w:p>
    <w:bookmarkEnd w:id="0"/>
    <w:p w:rsidR="0068428C" w:rsidRPr="00144CD5" w:rsidRDefault="0068428C" w:rsidP="0068428C">
      <w:pPr>
        <w:spacing w:line="360" w:lineRule="exact"/>
        <w:jc w:val="center"/>
        <w:rPr>
          <w:rFonts w:ascii="宋体" w:hAnsi="宋体"/>
          <w:b/>
          <w:sz w:val="24"/>
        </w:rPr>
      </w:pPr>
      <w:r w:rsidRPr="00144CD5">
        <w:rPr>
          <w:rFonts w:ascii="宋体" w:hAnsi="宋体"/>
          <w:b/>
          <w:sz w:val="24"/>
        </w:rPr>
        <w:t>请仔细阅读说明书并在医师指导下使用</w:t>
      </w:r>
    </w:p>
    <w:p w:rsidR="0068428C" w:rsidRPr="00144CD5" w:rsidRDefault="0068428C" w:rsidP="0068428C">
      <w:pPr>
        <w:spacing w:line="360" w:lineRule="exact"/>
        <w:rPr>
          <w:rFonts w:ascii="宋体" w:hAnsi="宋体"/>
          <w:b/>
          <w:bCs/>
          <w:sz w:val="24"/>
        </w:rPr>
      </w:pPr>
      <w:r w:rsidRPr="00144CD5">
        <w:rPr>
          <w:rFonts w:ascii="宋体" w:hAnsi="宋体" w:hint="eastAsia"/>
          <w:b/>
          <w:bCs/>
          <w:sz w:val="24"/>
        </w:rPr>
        <w:t>【药品名称】</w:t>
      </w:r>
    </w:p>
    <w:p w:rsidR="0068428C" w:rsidRPr="00144CD5" w:rsidRDefault="0068428C" w:rsidP="0068428C">
      <w:pPr>
        <w:spacing w:line="360" w:lineRule="exact"/>
        <w:ind w:firstLineChars="257" w:firstLine="617"/>
        <w:rPr>
          <w:rFonts w:ascii="宋体" w:hAnsi="宋体"/>
          <w:sz w:val="24"/>
        </w:rPr>
      </w:pPr>
      <w:r w:rsidRPr="00144CD5">
        <w:rPr>
          <w:rFonts w:ascii="宋体" w:hAnsi="宋体" w:hint="eastAsia"/>
          <w:sz w:val="24"/>
        </w:rPr>
        <w:t>通用名称：地西</w:t>
      </w:r>
      <w:proofErr w:type="gramStart"/>
      <w:r w:rsidRPr="00144CD5">
        <w:rPr>
          <w:rFonts w:ascii="宋体" w:hAnsi="宋体" w:hint="eastAsia"/>
          <w:sz w:val="24"/>
        </w:rPr>
        <w:t>泮</w:t>
      </w:r>
      <w:proofErr w:type="gramEnd"/>
      <w:r w:rsidRPr="00144CD5">
        <w:rPr>
          <w:rFonts w:ascii="宋体" w:hAnsi="宋体" w:hint="eastAsia"/>
          <w:sz w:val="24"/>
        </w:rPr>
        <w:t>注射液</w:t>
      </w:r>
    </w:p>
    <w:p w:rsidR="0068428C" w:rsidRPr="00144CD5" w:rsidRDefault="0068428C" w:rsidP="0068428C">
      <w:pPr>
        <w:spacing w:line="360" w:lineRule="exact"/>
        <w:ind w:firstLineChars="257" w:firstLine="617"/>
        <w:rPr>
          <w:rFonts w:ascii="宋体" w:hAnsi="宋体"/>
          <w:sz w:val="24"/>
        </w:rPr>
      </w:pPr>
      <w:r w:rsidRPr="00144CD5">
        <w:rPr>
          <w:rFonts w:ascii="宋体" w:hAnsi="宋体" w:hint="eastAsia"/>
          <w:sz w:val="24"/>
        </w:rPr>
        <w:t>英文名称：Diazepam Injection</w:t>
      </w:r>
    </w:p>
    <w:p w:rsidR="0068428C" w:rsidRPr="00144CD5" w:rsidRDefault="0068428C" w:rsidP="0068428C">
      <w:pPr>
        <w:spacing w:line="360" w:lineRule="exact"/>
        <w:ind w:firstLineChars="257" w:firstLine="617"/>
        <w:rPr>
          <w:rFonts w:ascii="宋体" w:hAnsi="宋体"/>
          <w:sz w:val="24"/>
        </w:rPr>
      </w:pPr>
      <w:r w:rsidRPr="00144CD5">
        <w:rPr>
          <w:rFonts w:ascii="宋体" w:hAnsi="宋体" w:hint="eastAsia"/>
          <w:sz w:val="24"/>
        </w:rPr>
        <w:t>汉语拼音：</w:t>
      </w:r>
      <w:proofErr w:type="spellStart"/>
      <w:r w:rsidRPr="00144CD5">
        <w:rPr>
          <w:rFonts w:ascii="宋体" w:hAnsi="宋体" w:hint="eastAsia"/>
          <w:sz w:val="24"/>
        </w:rPr>
        <w:t>Dixipan</w:t>
      </w:r>
      <w:proofErr w:type="spellEnd"/>
      <w:r w:rsidRPr="00144CD5">
        <w:rPr>
          <w:rFonts w:ascii="宋体" w:hAnsi="宋体" w:hint="eastAsia"/>
          <w:sz w:val="24"/>
        </w:rPr>
        <w:t xml:space="preserve"> </w:t>
      </w:r>
      <w:proofErr w:type="spellStart"/>
      <w:r w:rsidRPr="00144CD5">
        <w:rPr>
          <w:rFonts w:ascii="宋体" w:hAnsi="宋体" w:hint="eastAsia"/>
          <w:sz w:val="24"/>
        </w:rPr>
        <w:t>Zhusheye</w:t>
      </w:r>
      <w:proofErr w:type="spellEnd"/>
    </w:p>
    <w:p w:rsidR="0068428C" w:rsidRPr="00144CD5" w:rsidRDefault="0068428C" w:rsidP="0068428C">
      <w:pPr>
        <w:spacing w:line="360" w:lineRule="exact"/>
        <w:rPr>
          <w:rFonts w:ascii="宋体" w:hAnsi="宋体"/>
          <w:sz w:val="24"/>
        </w:rPr>
      </w:pPr>
      <w:r w:rsidRPr="00144CD5">
        <w:rPr>
          <w:rFonts w:ascii="宋体" w:hAnsi="宋体" w:hint="eastAsia"/>
          <w:b/>
          <w:bCs/>
          <w:sz w:val="24"/>
        </w:rPr>
        <w:t>【成 份】</w:t>
      </w:r>
      <w:r w:rsidRPr="00144CD5">
        <w:rPr>
          <w:rFonts w:ascii="宋体" w:hAnsi="宋体" w:hint="eastAsia"/>
          <w:sz w:val="24"/>
        </w:rPr>
        <w:t>本品的主要成份为地西</w:t>
      </w:r>
      <w:proofErr w:type="gramStart"/>
      <w:r w:rsidRPr="00144CD5">
        <w:rPr>
          <w:rFonts w:ascii="宋体" w:hAnsi="宋体" w:hint="eastAsia"/>
          <w:sz w:val="24"/>
        </w:rPr>
        <w:t>泮</w:t>
      </w:r>
      <w:proofErr w:type="gramEnd"/>
      <w:r w:rsidRPr="00144CD5">
        <w:rPr>
          <w:rFonts w:ascii="宋体" w:hAnsi="宋体" w:hint="eastAsia"/>
          <w:sz w:val="24"/>
        </w:rPr>
        <w:t>。</w:t>
      </w:r>
    </w:p>
    <w:p w:rsidR="0068428C" w:rsidRPr="00144CD5" w:rsidRDefault="0068428C" w:rsidP="0068428C">
      <w:pPr>
        <w:ind w:firstLineChars="200" w:firstLine="480"/>
        <w:rPr>
          <w:rFonts w:ascii="宋体" w:hAnsi="宋体"/>
          <w:sz w:val="24"/>
        </w:rPr>
      </w:pPr>
      <w:r w:rsidRPr="00144CD5">
        <w:rPr>
          <w:rFonts w:ascii="宋体" w:hAnsi="宋体" w:hint="eastAsia"/>
          <w:sz w:val="24"/>
        </w:rPr>
        <w:t>化学名称：1-甲基-5-苯基-7-氯-1,3-二氢-2H-1,4-苯并二氮杂</w:t>
      </w:r>
      <w:r w:rsidRPr="009D527E">
        <w:rPr>
          <w:rFonts w:ascii="Arial" w:hAnsi="Arial" w:cs="Arial"/>
          <w:sz w:val="24"/>
          <w:shd w:val="clear" w:color="auto" w:fill="FFFFFF"/>
        </w:rPr>
        <w:t>䓬</w:t>
      </w:r>
      <w:r w:rsidRPr="00144CD5">
        <w:rPr>
          <w:rFonts w:ascii="宋体" w:hAnsi="宋体" w:hint="eastAsia"/>
          <w:sz w:val="24"/>
        </w:rPr>
        <w:t>-2-酮。</w:t>
      </w:r>
    </w:p>
    <w:p w:rsidR="0068428C" w:rsidRPr="00144CD5" w:rsidRDefault="0068428C" w:rsidP="0068428C">
      <w:pPr>
        <w:spacing w:line="360" w:lineRule="exact"/>
        <w:ind w:firstLineChars="200" w:firstLine="480"/>
        <w:rPr>
          <w:rFonts w:ascii="宋体" w:hAnsi="宋体"/>
          <w:sz w:val="24"/>
        </w:rPr>
      </w:pPr>
      <w:r w:rsidRPr="00144CD5">
        <w:rPr>
          <w:rFonts w:ascii="宋体" w:hAnsi="宋体" w:hint="eastAsia"/>
          <w:sz w:val="24"/>
        </w:rPr>
        <w:t xml:space="preserve">化学结构式： </w:t>
      </w:r>
      <w:r w:rsidRPr="00144CD5">
        <w:rPr>
          <w:rFonts w:ascii="宋体" w:hAnsi="宋体"/>
          <w:sz w:val="24"/>
        </w:rPr>
        <w:t xml:space="preserve">  </w:t>
      </w:r>
    </w:p>
    <w:p w:rsidR="0068428C" w:rsidRPr="00144CD5" w:rsidRDefault="0068428C" w:rsidP="0068428C">
      <w:pPr>
        <w:ind w:firstLineChars="257" w:firstLine="540"/>
        <w:rPr>
          <w:rFonts w:ascii="宋体" w:hAnsi="宋体"/>
        </w:rPr>
      </w:pPr>
      <w:r w:rsidRPr="00144CD5">
        <w:rPr>
          <w:rFonts w:ascii="宋体" w:hAnsi="宋体"/>
        </w:rPr>
        <w:t xml:space="preserve">  </w:t>
      </w:r>
      <w:r w:rsidRPr="00144CD5">
        <w:rPr>
          <w:rFonts w:ascii="宋体" w:hAnsi="宋体" w:hint="eastAsia"/>
        </w:rPr>
        <w:t xml:space="preserve"> </w:t>
      </w:r>
      <w:r w:rsidRPr="00144CD5">
        <w:rPr>
          <w:rFonts w:ascii="宋体" w:hAnsi="宋体"/>
        </w:rPr>
        <w:t xml:space="preserve">               </w:t>
      </w:r>
      <w:r>
        <w:rPr>
          <w:rFonts w:ascii="宋体" w:hAnsi="宋体"/>
          <w:noProof/>
        </w:rPr>
        <w:drawing>
          <wp:inline distT="0" distB="0" distL="0" distR="0" wp14:anchorId="0C4EE2DF" wp14:editId="49624094">
            <wp:extent cx="903605" cy="832485"/>
            <wp:effectExtent l="0" t="0" r="0" b="5715"/>
            <wp:docPr id="1" name="图片 1" descr="anmia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anmian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3605" cy="832485"/>
                    </a:xfrm>
                    <a:prstGeom prst="rect">
                      <a:avLst/>
                    </a:prstGeom>
                    <a:noFill/>
                    <a:ln>
                      <a:noFill/>
                    </a:ln>
                  </pic:spPr>
                </pic:pic>
              </a:graphicData>
            </a:graphic>
          </wp:inline>
        </w:drawing>
      </w:r>
      <w:r w:rsidRPr="00144CD5">
        <w:rPr>
          <w:rFonts w:ascii="宋体" w:hAnsi="宋体"/>
        </w:rPr>
        <w:t xml:space="preserve">       </w:t>
      </w:r>
    </w:p>
    <w:p w:rsidR="0068428C" w:rsidRDefault="0068428C" w:rsidP="0068428C">
      <w:pPr>
        <w:spacing w:line="360" w:lineRule="exact"/>
        <w:ind w:firstLineChars="300" w:firstLine="720"/>
        <w:rPr>
          <w:rFonts w:ascii="宋体" w:hAnsi="宋体"/>
          <w:sz w:val="24"/>
        </w:rPr>
      </w:pPr>
      <w:r w:rsidRPr="00144CD5">
        <w:rPr>
          <w:rFonts w:ascii="宋体" w:hAnsi="宋体" w:hint="eastAsia"/>
          <w:sz w:val="24"/>
        </w:rPr>
        <w:t>分子式：C</w:t>
      </w:r>
      <w:r w:rsidRPr="00144CD5">
        <w:rPr>
          <w:rFonts w:ascii="宋体" w:hAnsi="宋体" w:hint="eastAsia"/>
          <w:sz w:val="24"/>
          <w:vertAlign w:val="subscript"/>
        </w:rPr>
        <w:t>16</w:t>
      </w:r>
      <w:r w:rsidRPr="00144CD5">
        <w:rPr>
          <w:rFonts w:ascii="宋体" w:hAnsi="宋体" w:hint="eastAsia"/>
          <w:sz w:val="24"/>
        </w:rPr>
        <w:t>H</w:t>
      </w:r>
      <w:r w:rsidRPr="00144CD5">
        <w:rPr>
          <w:rFonts w:ascii="宋体" w:hAnsi="宋体" w:hint="eastAsia"/>
          <w:sz w:val="24"/>
          <w:vertAlign w:val="subscript"/>
        </w:rPr>
        <w:t>13</w:t>
      </w:r>
      <w:r w:rsidRPr="00144CD5">
        <w:rPr>
          <w:rFonts w:ascii="宋体" w:hAnsi="宋体" w:hint="eastAsia"/>
          <w:sz w:val="24"/>
        </w:rPr>
        <w:t>ClN</w:t>
      </w:r>
      <w:r w:rsidRPr="00144CD5">
        <w:rPr>
          <w:rFonts w:ascii="宋体" w:hAnsi="宋体" w:hint="eastAsia"/>
          <w:sz w:val="24"/>
          <w:vertAlign w:val="subscript"/>
        </w:rPr>
        <w:t>2</w:t>
      </w:r>
      <w:r w:rsidRPr="00144CD5">
        <w:rPr>
          <w:rFonts w:ascii="宋体" w:hAnsi="宋体" w:hint="eastAsia"/>
          <w:sz w:val="24"/>
        </w:rPr>
        <w:t>0</w:t>
      </w:r>
    </w:p>
    <w:p w:rsidR="0068428C" w:rsidRPr="00144CD5" w:rsidRDefault="0068428C" w:rsidP="0068428C">
      <w:pPr>
        <w:spacing w:line="360" w:lineRule="exact"/>
        <w:ind w:firstLineChars="300" w:firstLine="720"/>
        <w:rPr>
          <w:rFonts w:ascii="宋体" w:hAnsi="宋体"/>
          <w:sz w:val="24"/>
        </w:rPr>
      </w:pPr>
      <w:r w:rsidRPr="00144CD5">
        <w:rPr>
          <w:rFonts w:ascii="宋体" w:hAnsi="宋体" w:hint="eastAsia"/>
          <w:sz w:val="24"/>
        </w:rPr>
        <w:t>分子量：284.74</w:t>
      </w:r>
    </w:p>
    <w:p w:rsidR="0068428C" w:rsidRPr="00144CD5" w:rsidRDefault="0068428C" w:rsidP="0068428C">
      <w:pPr>
        <w:spacing w:line="360" w:lineRule="exact"/>
        <w:ind w:firstLineChars="300" w:firstLine="720"/>
        <w:rPr>
          <w:rFonts w:ascii="宋体" w:hAnsi="宋体"/>
          <w:sz w:val="24"/>
        </w:rPr>
      </w:pPr>
      <w:r w:rsidRPr="00144CD5">
        <w:rPr>
          <w:rFonts w:ascii="宋体" w:hAnsi="宋体" w:hint="eastAsia"/>
          <w:sz w:val="24"/>
        </w:rPr>
        <w:t>辅料为：丙二醇、乙醇、苯甲醇、注射用水。</w:t>
      </w:r>
    </w:p>
    <w:p w:rsidR="0068428C" w:rsidRPr="00144CD5" w:rsidRDefault="0068428C" w:rsidP="0068428C">
      <w:pPr>
        <w:spacing w:line="360" w:lineRule="exact"/>
        <w:rPr>
          <w:rFonts w:ascii="宋体" w:hAnsi="宋体"/>
          <w:sz w:val="24"/>
        </w:rPr>
      </w:pPr>
      <w:r w:rsidRPr="00144CD5">
        <w:rPr>
          <w:rFonts w:ascii="宋体" w:hAnsi="宋体" w:hint="eastAsia"/>
          <w:b/>
          <w:bCs/>
          <w:sz w:val="24"/>
        </w:rPr>
        <w:t>【性 状】</w:t>
      </w:r>
      <w:r w:rsidRPr="00144CD5">
        <w:rPr>
          <w:rFonts w:ascii="宋体" w:hAnsi="宋体" w:hint="eastAsia"/>
          <w:sz w:val="24"/>
        </w:rPr>
        <w:t xml:space="preserve"> 本品为几乎无色至黄绿色的澄明液体。</w:t>
      </w:r>
    </w:p>
    <w:p w:rsidR="0068428C" w:rsidRPr="00144CD5" w:rsidRDefault="0068428C" w:rsidP="0068428C">
      <w:pPr>
        <w:spacing w:line="360" w:lineRule="exact"/>
        <w:rPr>
          <w:rFonts w:ascii="宋体" w:hAnsi="宋体"/>
          <w:sz w:val="24"/>
        </w:rPr>
      </w:pPr>
      <w:r w:rsidRPr="00144CD5">
        <w:rPr>
          <w:rFonts w:ascii="宋体" w:hAnsi="宋体" w:hint="eastAsia"/>
          <w:b/>
          <w:bCs/>
          <w:sz w:val="24"/>
        </w:rPr>
        <w:t>【适应症】</w:t>
      </w:r>
      <w:r w:rsidRPr="00144CD5">
        <w:rPr>
          <w:rFonts w:ascii="宋体" w:hAnsi="宋体" w:hint="eastAsia"/>
          <w:sz w:val="24"/>
        </w:rPr>
        <w:t xml:space="preserve"> 1.可用于抗癫痫和抗惊厥；静脉注射为治疗癫痫持续状态的首选药，对破伤风轻度阵发性惊厥也有效；2.静注可用于全麻的诱导和麻醉前给药。</w:t>
      </w:r>
    </w:p>
    <w:p w:rsidR="0068428C" w:rsidRPr="00144CD5" w:rsidRDefault="0068428C" w:rsidP="0068428C">
      <w:pPr>
        <w:spacing w:line="360" w:lineRule="exact"/>
        <w:rPr>
          <w:rFonts w:ascii="宋体" w:hAnsi="宋体"/>
          <w:sz w:val="24"/>
        </w:rPr>
      </w:pPr>
      <w:r w:rsidRPr="00144CD5">
        <w:rPr>
          <w:rFonts w:ascii="宋体" w:hAnsi="宋体" w:hint="eastAsia"/>
          <w:b/>
          <w:bCs/>
          <w:sz w:val="24"/>
        </w:rPr>
        <w:t>【规 格】</w:t>
      </w:r>
      <w:r w:rsidRPr="00144CD5">
        <w:rPr>
          <w:rFonts w:ascii="宋体" w:hAnsi="宋体" w:hint="eastAsia"/>
          <w:sz w:val="24"/>
        </w:rPr>
        <w:t xml:space="preserve"> 2ml:10mg</w:t>
      </w:r>
    </w:p>
    <w:p w:rsidR="0068428C" w:rsidRPr="00144CD5" w:rsidRDefault="0068428C" w:rsidP="0068428C">
      <w:pPr>
        <w:spacing w:line="360" w:lineRule="exact"/>
        <w:rPr>
          <w:rFonts w:ascii="宋体" w:hAnsi="宋体"/>
          <w:sz w:val="24"/>
        </w:rPr>
      </w:pPr>
      <w:r w:rsidRPr="00144CD5">
        <w:rPr>
          <w:rFonts w:ascii="宋体" w:hAnsi="宋体" w:hint="eastAsia"/>
          <w:b/>
          <w:bCs/>
          <w:sz w:val="24"/>
        </w:rPr>
        <w:t>【用法用量】</w:t>
      </w:r>
      <w:r w:rsidRPr="00144CD5">
        <w:rPr>
          <w:rFonts w:ascii="宋体" w:hAnsi="宋体" w:hint="eastAsia"/>
          <w:sz w:val="24"/>
        </w:rPr>
        <w:t xml:space="preserve"> 成人常用量：基础麻醉或静脉全麻，10-30mg。镇静、催眠或急性酒精戒断，开始10mg，以后按需每隔3-4小时加5-10mg。 24小时总量以40-50 </w:t>
      </w:r>
    </w:p>
    <w:p w:rsidR="0068428C" w:rsidRPr="00144CD5" w:rsidRDefault="0068428C" w:rsidP="0068428C">
      <w:pPr>
        <w:spacing w:line="360" w:lineRule="exact"/>
        <w:rPr>
          <w:rFonts w:ascii="宋体" w:hAnsi="宋体"/>
          <w:sz w:val="24"/>
        </w:rPr>
      </w:pPr>
      <w:r w:rsidRPr="00144CD5">
        <w:rPr>
          <w:rFonts w:ascii="宋体" w:hAnsi="宋体" w:hint="eastAsia"/>
          <w:sz w:val="24"/>
        </w:rPr>
        <w:t>mg为限。癫痫持续状态和严重频发性癫痫，开始静注10 mg，每隔10-15分钟可按需增加甚至达最大限用量。破伤风可能需要较大剂量。</w:t>
      </w:r>
      <w:proofErr w:type="gramStart"/>
      <w:r w:rsidRPr="00144CD5">
        <w:rPr>
          <w:rFonts w:ascii="宋体" w:hAnsi="宋体" w:hint="eastAsia"/>
          <w:sz w:val="24"/>
        </w:rPr>
        <w:t>静注宜缓慢</w:t>
      </w:r>
      <w:proofErr w:type="gramEnd"/>
      <w:r w:rsidRPr="00144CD5">
        <w:rPr>
          <w:rFonts w:ascii="宋体" w:hAnsi="宋体" w:hint="eastAsia"/>
          <w:sz w:val="24"/>
        </w:rPr>
        <w:t>，每分钟2-5mg。小儿常用量：抗癫痫、癫痫持续状态和严重频发性癫痫，出生30天-5岁，静注为宜，每2-5分钟0.2-0.5 mg，最大限用量为5mg。5岁以上每2-5分钟1mg，最大限用量10mg。如需要，2-4小时后可重复治疗。重症破伤风解</w:t>
      </w:r>
      <w:proofErr w:type="gramStart"/>
      <w:r w:rsidRPr="00144CD5">
        <w:rPr>
          <w:rFonts w:ascii="宋体" w:hAnsi="宋体" w:hint="eastAsia"/>
          <w:sz w:val="24"/>
        </w:rPr>
        <w:t>痉</w:t>
      </w:r>
      <w:proofErr w:type="gramEnd"/>
      <w:r w:rsidRPr="00144CD5">
        <w:rPr>
          <w:rFonts w:ascii="宋体" w:hAnsi="宋体" w:hint="eastAsia"/>
          <w:sz w:val="24"/>
        </w:rPr>
        <w:t>时，出生30天到5岁1-2 mg，必要时3-4小时后可重复注射，5岁以上注射5-10 mg。小儿</w:t>
      </w:r>
      <w:proofErr w:type="gramStart"/>
      <w:r w:rsidRPr="00144CD5">
        <w:rPr>
          <w:rFonts w:ascii="宋体" w:hAnsi="宋体" w:hint="eastAsia"/>
          <w:sz w:val="24"/>
        </w:rPr>
        <w:t>静注宜缓慢</w:t>
      </w:r>
      <w:proofErr w:type="gramEnd"/>
      <w:r w:rsidRPr="00144CD5">
        <w:rPr>
          <w:rFonts w:ascii="宋体" w:hAnsi="宋体" w:hint="eastAsia"/>
          <w:sz w:val="24"/>
        </w:rPr>
        <w:t>，3分钟内按体重不超过0.25mg/kg，间隔15-30分钟可重复。新生儿慎用。</w:t>
      </w:r>
    </w:p>
    <w:p w:rsidR="0068428C" w:rsidRPr="00144CD5" w:rsidRDefault="0068428C" w:rsidP="0068428C">
      <w:pPr>
        <w:spacing w:line="360" w:lineRule="exact"/>
        <w:rPr>
          <w:rFonts w:ascii="宋体" w:hAnsi="宋体"/>
          <w:sz w:val="24"/>
        </w:rPr>
      </w:pPr>
      <w:r w:rsidRPr="00144CD5">
        <w:rPr>
          <w:rFonts w:ascii="宋体" w:hAnsi="宋体" w:hint="eastAsia"/>
          <w:b/>
          <w:bCs/>
          <w:sz w:val="24"/>
        </w:rPr>
        <w:t>【不良反应】</w:t>
      </w:r>
      <w:r w:rsidRPr="00144CD5">
        <w:rPr>
          <w:rFonts w:ascii="宋体" w:hAnsi="宋体" w:hint="eastAsia"/>
          <w:sz w:val="24"/>
        </w:rPr>
        <w:t xml:space="preserve"> 1.常见的不良反应，嗜睡，头昏、乏力等，大剂量可有共济失调、</w:t>
      </w:r>
      <w:r w:rsidRPr="00144CD5">
        <w:rPr>
          <w:rFonts w:ascii="宋体" w:hAnsi="宋体" w:hint="eastAsia"/>
          <w:sz w:val="24"/>
        </w:rPr>
        <w:lastRenderedPageBreak/>
        <w:t>震颤。2.罕见的有皮疹，白细胞减少。3.个别病人发生兴奋，多语，睡眠障碍，甚至幻觉。停药后，上述症状很快消失。4.长期连续用药可产生依赖性和成瘾性，停药可能发生撤药症状，表现为激动或忧郁。</w:t>
      </w:r>
    </w:p>
    <w:p w:rsidR="0068428C" w:rsidRPr="00144CD5" w:rsidRDefault="0068428C" w:rsidP="0068428C">
      <w:pPr>
        <w:spacing w:line="360" w:lineRule="exact"/>
        <w:rPr>
          <w:rFonts w:ascii="宋体" w:hAnsi="宋体"/>
          <w:sz w:val="24"/>
        </w:rPr>
      </w:pPr>
      <w:r w:rsidRPr="00144CD5">
        <w:rPr>
          <w:rFonts w:ascii="宋体" w:hAnsi="宋体" w:hint="eastAsia"/>
          <w:b/>
          <w:bCs/>
          <w:sz w:val="24"/>
        </w:rPr>
        <w:t>【禁 忌】</w:t>
      </w:r>
      <w:r w:rsidRPr="00144CD5">
        <w:rPr>
          <w:rFonts w:ascii="宋体" w:hAnsi="宋体" w:hint="eastAsia"/>
          <w:sz w:val="24"/>
        </w:rPr>
        <w:t xml:space="preserve"> 1、孕妇、妊娠期妇女、新生儿禁用。</w:t>
      </w:r>
    </w:p>
    <w:p w:rsidR="0068428C" w:rsidRPr="00144CD5" w:rsidRDefault="0068428C" w:rsidP="0068428C">
      <w:pPr>
        <w:spacing w:line="360" w:lineRule="exact"/>
        <w:rPr>
          <w:rFonts w:ascii="宋体" w:hAnsi="宋体"/>
          <w:sz w:val="24"/>
        </w:rPr>
      </w:pPr>
      <w:r w:rsidRPr="00144CD5">
        <w:rPr>
          <w:rFonts w:ascii="宋体" w:hAnsi="宋体" w:hint="eastAsia"/>
          <w:sz w:val="24"/>
        </w:rPr>
        <w:t xml:space="preserve">          2、</w:t>
      </w:r>
      <w:r w:rsidRPr="00144CD5">
        <w:rPr>
          <w:rFonts w:ascii="黑体" w:eastAsia="黑体" w:hAnsi="宋体" w:hint="eastAsia"/>
          <w:sz w:val="24"/>
        </w:rPr>
        <w:t>严禁用于食品和饲料加工</w:t>
      </w:r>
    </w:p>
    <w:p w:rsidR="0068428C" w:rsidRPr="00144CD5" w:rsidRDefault="0068428C" w:rsidP="0068428C">
      <w:pPr>
        <w:spacing w:line="360" w:lineRule="exact"/>
        <w:rPr>
          <w:rFonts w:ascii="宋体" w:hAnsi="宋体"/>
          <w:sz w:val="24"/>
        </w:rPr>
      </w:pPr>
      <w:r w:rsidRPr="00144CD5">
        <w:rPr>
          <w:rFonts w:ascii="宋体" w:hAnsi="宋体" w:hint="eastAsia"/>
          <w:b/>
          <w:bCs/>
          <w:sz w:val="24"/>
        </w:rPr>
        <w:t>【注意事项】</w:t>
      </w:r>
      <w:r w:rsidRPr="00144CD5">
        <w:rPr>
          <w:rFonts w:ascii="宋体" w:hAnsi="宋体" w:hint="eastAsia"/>
          <w:sz w:val="24"/>
        </w:rPr>
        <w:t xml:space="preserve"> 1.对苯二氮</w:t>
      </w:r>
      <w:r w:rsidRPr="009D527E">
        <w:rPr>
          <w:rFonts w:ascii="Arial" w:hAnsi="Arial" w:cs="Arial"/>
          <w:sz w:val="24"/>
          <w:shd w:val="clear" w:color="auto" w:fill="FFFFFF"/>
        </w:rPr>
        <w:t>䓬</w:t>
      </w:r>
      <w:r w:rsidRPr="00144CD5">
        <w:rPr>
          <w:rFonts w:ascii="宋体" w:hAnsi="宋体" w:hint="eastAsia"/>
          <w:sz w:val="24"/>
        </w:rPr>
        <w:t>类药物过敏者，可能对本药过敏；2.肝肾功能损害者能延长本药清除半衰期；3.癫痫患者突然停药可引起癫痫持续状态；4.严重的精神抑郁可使病情加重,甚至产生自杀倾向，应采取预防措施；5.避免长期大量使用而成瘾，如长期使用应逐渐减量，不宜骤停；6.对本类药耐受量小的患者初用量宜小，逐渐增加剂量</w:t>
      </w:r>
      <w:r>
        <w:rPr>
          <w:rFonts w:ascii="宋体" w:hAnsi="宋体" w:hint="eastAsia"/>
          <w:sz w:val="24"/>
        </w:rPr>
        <w:t>；</w:t>
      </w:r>
      <w:r w:rsidRPr="00104B68">
        <w:rPr>
          <w:rFonts w:ascii="宋体" w:hAnsi="宋体" w:hint="eastAsia"/>
          <w:sz w:val="24"/>
        </w:rPr>
        <w:t>7、</w:t>
      </w:r>
      <w:r w:rsidRPr="00104B68">
        <w:rPr>
          <w:rFonts w:ascii="宋体" w:hAnsi="宋体" w:cs="宋体" w:hint="eastAsia"/>
          <w:color w:val="000000"/>
          <w:kern w:val="0"/>
          <w:sz w:val="24"/>
        </w:rPr>
        <w:t>本品含苯甲醇，禁止用于儿童肌肉注射</w:t>
      </w:r>
      <w:r>
        <w:rPr>
          <w:rFonts w:ascii="宋体" w:hAnsi="宋体" w:cs="宋体" w:hint="eastAsia"/>
          <w:color w:val="000000"/>
          <w:kern w:val="0"/>
          <w:sz w:val="24"/>
        </w:rPr>
        <w:t>。</w:t>
      </w:r>
    </w:p>
    <w:p w:rsidR="0068428C" w:rsidRPr="00144CD5" w:rsidRDefault="0068428C" w:rsidP="0068428C">
      <w:pPr>
        <w:spacing w:line="360" w:lineRule="exact"/>
        <w:rPr>
          <w:rFonts w:ascii="宋体" w:hAnsi="宋体"/>
          <w:sz w:val="24"/>
        </w:rPr>
      </w:pPr>
      <w:r w:rsidRPr="00144CD5">
        <w:rPr>
          <w:rFonts w:ascii="宋体" w:hAnsi="宋体" w:hint="eastAsia"/>
          <w:b/>
          <w:bCs/>
          <w:sz w:val="24"/>
        </w:rPr>
        <w:t>以下情况慎用：</w:t>
      </w:r>
      <w:r w:rsidRPr="00144CD5">
        <w:rPr>
          <w:rFonts w:ascii="宋体" w:hAnsi="宋体" w:hint="eastAsia"/>
          <w:sz w:val="24"/>
        </w:rPr>
        <w:t>1.严重的急性乙醇中毒，可加重中枢神经系统抑制作用；2.重度重症肌无力，病情可能被加重；3.急性或隐性发生闭角型青光眼可因本品的抗胆碱能效应而使病情加重；4.低蛋白血症时，可导致易</w:t>
      </w:r>
      <w:proofErr w:type="gramStart"/>
      <w:r w:rsidRPr="00144CD5">
        <w:rPr>
          <w:rFonts w:ascii="宋体" w:hAnsi="宋体" w:hint="eastAsia"/>
          <w:sz w:val="24"/>
        </w:rPr>
        <w:t>嗜睡难</w:t>
      </w:r>
      <w:proofErr w:type="gramEnd"/>
      <w:r w:rsidRPr="00144CD5">
        <w:rPr>
          <w:rFonts w:ascii="宋体" w:hAnsi="宋体" w:hint="eastAsia"/>
          <w:sz w:val="24"/>
        </w:rPr>
        <w:t>醒；5.多动症者可有反常反应；6.严重慢性阻塞性肺部病变，可加重呼吸衰竭； 7.外科或长期卧床病人，咳嗽反射可受到抑制；8.有药物滥用和</w:t>
      </w:r>
      <w:proofErr w:type="gramStart"/>
      <w:r w:rsidRPr="00144CD5">
        <w:rPr>
          <w:rFonts w:ascii="宋体" w:hAnsi="宋体" w:hint="eastAsia"/>
          <w:sz w:val="24"/>
        </w:rPr>
        <w:t>成瘾史</w:t>
      </w:r>
      <w:proofErr w:type="gramEnd"/>
      <w:r w:rsidRPr="00144CD5">
        <w:rPr>
          <w:rFonts w:ascii="宋体" w:hAnsi="宋体" w:hint="eastAsia"/>
          <w:sz w:val="24"/>
        </w:rPr>
        <w:t>者。</w:t>
      </w:r>
    </w:p>
    <w:p w:rsidR="0068428C" w:rsidRPr="00144CD5" w:rsidRDefault="0068428C" w:rsidP="0068428C">
      <w:pPr>
        <w:spacing w:line="360" w:lineRule="exact"/>
        <w:rPr>
          <w:rFonts w:ascii="宋体" w:hAnsi="宋体"/>
          <w:sz w:val="24"/>
        </w:rPr>
      </w:pPr>
      <w:r w:rsidRPr="00144CD5">
        <w:rPr>
          <w:rFonts w:ascii="宋体" w:hAnsi="宋体" w:hint="eastAsia"/>
          <w:b/>
          <w:bCs/>
          <w:sz w:val="24"/>
        </w:rPr>
        <w:t>【孕妇及哺乳期妇女用药】</w:t>
      </w:r>
      <w:r w:rsidRPr="00144CD5">
        <w:rPr>
          <w:rFonts w:ascii="宋体" w:hAnsi="宋体" w:hint="eastAsia"/>
          <w:sz w:val="24"/>
        </w:rPr>
        <w:t>1.在妊娠三个月内，本药有增加胎儿致</w:t>
      </w:r>
      <w:proofErr w:type="gramStart"/>
      <w:r w:rsidRPr="00144CD5">
        <w:rPr>
          <w:rFonts w:ascii="宋体" w:hAnsi="宋体" w:hint="eastAsia"/>
          <w:sz w:val="24"/>
        </w:rPr>
        <w:t>畸</w:t>
      </w:r>
      <w:proofErr w:type="gramEnd"/>
      <w:r w:rsidRPr="00144CD5">
        <w:rPr>
          <w:rFonts w:ascii="宋体" w:hAnsi="宋体" w:hint="eastAsia"/>
          <w:sz w:val="24"/>
        </w:rPr>
        <w:t>的危险，孕妇长期服用可成瘾，使新生儿呈现撤</w:t>
      </w:r>
      <w:proofErr w:type="gramStart"/>
      <w:r w:rsidRPr="00144CD5">
        <w:rPr>
          <w:rFonts w:ascii="宋体" w:hAnsi="宋体" w:hint="eastAsia"/>
          <w:sz w:val="24"/>
        </w:rPr>
        <w:t>药症状激</w:t>
      </w:r>
      <w:proofErr w:type="gramEnd"/>
      <w:r w:rsidRPr="00144CD5">
        <w:rPr>
          <w:rFonts w:ascii="宋体" w:hAnsi="宋体" w:hint="eastAsia"/>
          <w:sz w:val="24"/>
        </w:rPr>
        <w:t>惹、震颤、呕吐、腹泻；妊娠后期用药影响新生儿中枢神经活动。分娩前及分娩时用药可导致新生儿</w:t>
      </w:r>
      <w:proofErr w:type="gramStart"/>
      <w:r w:rsidRPr="00144CD5">
        <w:rPr>
          <w:rFonts w:ascii="宋体" w:hAnsi="宋体" w:hint="eastAsia"/>
          <w:sz w:val="24"/>
        </w:rPr>
        <w:t>肌</w:t>
      </w:r>
      <w:proofErr w:type="gramEnd"/>
      <w:r w:rsidRPr="00144CD5">
        <w:rPr>
          <w:rFonts w:ascii="宋体" w:hAnsi="宋体" w:hint="eastAsia"/>
          <w:sz w:val="24"/>
        </w:rPr>
        <w:t>张力较弱，</w:t>
      </w:r>
    </w:p>
    <w:p w:rsidR="0068428C" w:rsidRPr="00144CD5" w:rsidRDefault="0068428C" w:rsidP="0068428C">
      <w:pPr>
        <w:spacing w:line="360" w:lineRule="exact"/>
        <w:rPr>
          <w:rFonts w:ascii="宋体" w:hAnsi="宋体"/>
          <w:sz w:val="24"/>
        </w:rPr>
      </w:pPr>
      <w:r w:rsidRPr="00144CD5">
        <w:rPr>
          <w:rFonts w:ascii="宋体" w:hAnsi="宋体" w:hint="eastAsia"/>
          <w:sz w:val="24"/>
        </w:rPr>
        <w:t>应禁用。2.本品可分泌入乳汁，哺乳期妇女应避免使用。</w:t>
      </w:r>
    </w:p>
    <w:p w:rsidR="0068428C" w:rsidRPr="00144CD5" w:rsidRDefault="0068428C" w:rsidP="0068428C">
      <w:pPr>
        <w:spacing w:line="360" w:lineRule="exact"/>
        <w:rPr>
          <w:rFonts w:ascii="宋体" w:hAnsi="宋体"/>
          <w:sz w:val="24"/>
        </w:rPr>
      </w:pPr>
      <w:r w:rsidRPr="00144CD5">
        <w:rPr>
          <w:rFonts w:ascii="宋体" w:hAnsi="宋体" w:hint="eastAsia"/>
          <w:b/>
          <w:bCs/>
          <w:sz w:val="24"/>
        </w:rPr>
        <w:t>【儿童用药】</w:t>
      </w:r>
      <w:r w:rsidRPr="00144CD5">
        <w:rPr>
          <w:rFonts w:ascii="宋体" w:hAnsi="宋体" w:hint="eastAsia"/>
          <w:sz w:val="24"/>
        </w:rPr>
        <w:t xml:space="preserve"> 幼儿中枢神经系统对本药异常敏感，应谨慎给药。</w:t>
      </w:r>
    </w:p>
    <w:p w:rsidR="0068428C" w:rsidRPr="00144CD5" w:rsidRDefault="0068428C" w:rsidP="0068428C">
      <w:pPr>
        <w:spacing w:line="360" w:lineRule="exact"/>
        <w:rPr>
          <w:rFonts w:ascii="宋体" w:hAnsi="宋体"/>
          <w:sz w:val="24"/>
        </w:rPr>
      </w:pPr>
      <w:r w:rsidRPr="00144CD5">
        <w:rPr>
          <w:rFonts w:ascii="宋体" w:hAnsi="宋体" w:hint="eastAsia"/>
          <w:b/>
          <w:bCs/>
          <w:sz w:val="24"/>
        </w:rPr>
        <w:t>【老年患者用药】</w:t>
      </w:r>
      <w:r w:rsidRPr="00144CD5">
        <w:rPr>
          <w:rFonts w:ascii="宋体" w:hAnsi="宋体" w:hint="eastAsia"/>
          <w:sz w:val="24"/>
        </w:rPr>
        <w:t xml:space="preserve"> 老年人对</w:t>
      </w:r>
      <w:proofErr w:type="gramStart"/>
      <w:r w:rsidRPr="00144CD5">
        <w:rPr>
          <w:rFonts w:ascii="宋体" w:hAnsi="宋体" w:hint="eastAsia"/>
          <w:sz w:val="24"/>
        </w:rPr>
        <w:t>本药较敏感</w:t>
      </w:r>
      <w:proofErr w:type="gramEnd"/>
      <w:r w:rsidRPr="00144CD5">
        <w:rPr>
          <w:rFonts w:ascii="宋体" w:hAnsi="宋体" w:hint="eastAsia"/>
          <w:sz w:val="24"/>
        </w:rPr>
        <w:t>，用量应酌减。</w:t>
      </w:r>
    </w:p>
    <w:p w:rsidR="0068428C" w:rsidRPr="00144CD5" w:rsidRDefault="0068428C" w:rsidP="0068428C">
      <w:pPr>
        <w:spacing w:line="360" w:lineRule="exact"/>
        <w:rPr>
          <w:rFonts w:ascii="宋体" w:hAnsi="宋体"/>
          <w:sz w:val="24"/>
        </w:rPr>
      </w:pPr>
      <w:r w:rsidRPr="00144CD5">
        <w:rPr>
          <w:rFonts w:ascii="宋体" w:hAnsi="宋体" w:hint="eastAsia"/>
          <w:b/>
          <w:bCs/>
          <w:sz w:val="24"/>
        </w:rPr>
        <w:t>【药物相互作用】</w:t>
      </w:r>
      <w:r w:rsidRPr="00144CD5">
        <w:rPr>
          <w:rFonts w:ascii="宋体" w:hAnsi="宋体" w:hint="eastAsia"/>
          <w:sz w:val="24"/>
        </w:rPr>
        <w:t>1.与中枢抑制药合用可增加呼吸抑制作用。2.与易成瘾和其他可能成瘾药合用时，成瘾的危险性增加。3.与酒及全麻药、可乐定、镇痛药、</w:t>
      </w:r>
      <w:proofErr w:type="gramStart"/>
      <w:r w:rsidRPr="00144CD5">
        <w:rPr>
          <w:rFonts w:ascii="宋体" w:hAnsi="宋体" w:hint="eastAsia"/>
          <w:sz w:val="24"/>
        </w:rPr>
        <w:t>吩</w:t>
      </w:r>
      <w:proofErr w:type="gramEnd"/>
    </w:p>
    <w:p w:rsidR="0068428C" w:rsidRPr="00144CD5" w:rsidRDefault="0068428C" w:rsidP="0068428C">
      <w:pPr>
        <w:spacing w:line="360" w:lineRule="exact"/>
        <w:rPr>
          <w:rFonts w:ascii="宋体" w:hAnsi="宋体"/>
          <w:sz w:val="24"/>
        </w:rPr>
      </w:pPr>
      <w:proofErr w:type="gramStart"/>
      <w:r w:rsidRPr="00144CD5">
        <w:rPr>
          <w:rFonts w:ascii="宋体" w:hAnsi="宋体" w:hint="eastAsia"/>
          <w:sz w:val="24"/>
        </w:rPr>
        <w:t>噻嗪</w:t>
      </w:r>
      <w:proofErr w:type="gramEnd"/>
      <w:r w:rsidRPr="00144CD5">
        <w:rPr>
          <w:rFonts w:ascii="宋体" w:hAnsi="宋体" w:hint="eastAsia"/>
          <w:sz w:val="24"/>
        </w:rPr>
        <w:t>类、单胺氧化酶A型抑制药和三环类抗抑郁药合用时，可彼此增效，应调整用量。 4.与抗高血压药和利尿降压药合用，可使降压作用增强。5.与西</w:t>
      </w:r>
      <w:proofErr w:type="gramStart"/>
      <w:r w:rsidRPr="00144CD5">
        <w:rPr>
          <w:rFonts w:ascii="宋体" w:hAnsi="宋体" w:hint="eastAsia"/>
          <w:sz w:val="24"/>
        </w:rPr>
        <w:t>咪</w:t>
      </w:r>
      <w:proofErr w:type="gramEnd"/>
      <w:r w:rsidRPr="00144CD5">
        <w:rPr>
          <w:rFonts w:ascii="宋体" w:hAnsi="宋体" w:hint="eastAsia"/>
          <w:sz w:val="24"/>
        </w:rPr>
        <w:t>替丁、普奈洛尔合用本药清除减慢，血浆半衰期延长。6.</w:t>
      </w:r>
      <w:proofErr w:type="gramStart"/>
      <w:r w:rsidRPr="00144CD5">
        <w:rPr>
          <w:rFonts w:ascii="宋体" w:hAnsi="宋体" w:hint="eastAsia"/>
          <w:sz w:val="24"/>
        </w:rPr>
        <w:t>与扑米酮</w:t>
      </w:r>
      <w:proofErr w:type="gramEnd"/>
      <w:r w:rsidRPr="00144CD5">
        <w:rPr>
          <w:rFonts w:ascii="宋体" w:hAnsi="宋体" w:hint="eastAsia"/>
          <w:sz w:val="24"/>
        </w:rPr>
        <w:t>合用由于减慢后者代</w:t>
      </w:r>
    </w:p>
    <w:p w:rsidR="0068428C" w:rsidRPr="00144CD5" w:rsidRDefault="0068428C" w:rsidP="0068428C">
      <w:pPr>
        <w:spacing w:line="360" w:lineRule="exact"/>
        <w:rPr>
          <w:rFonts w:ascii="宋体" w:hAnsi="宋体"/>
          <w:sz w:val="24"/>
        </w:rPr>
      </w:pPr>
      <w:r w:rsidRPr="00144CD5">
        <w:rPr>
          <w:rFonts w:ascii="宋体" w:hAnsi="宋体" w:hint="eastAsia"/>
          <w:sz w:val="24"/>
        </w:rPr>
        <w:t>谢，需调整</w:t>
      </w:r>
      <w:proofErr w:type="gramStart"/>
      <w:r w:rsidRPr="00144CD5">
        <w:rPr>
          <w:rFonts w:ascii="宋体" w:hAnsi="宋体" w:hint="eastAsia"/>
          <w:sz w:val="24"/>
        </w:rPr>
        <w:t>扑米酮</w:t>
      </w:r>
      <w:proofErr w:type="gramEnd"/>
      <w:r w:rsidRPr="00144CD5">
        <w:rPr>
          <w:rFonts w:ascii="宋体" w:hAnsi="宋体" w:hint="eastAsia"/>
          <w:sz w:val="24"/>
        </w:rPr>
        <w:t>的用量。   7.与左旋多巴合用时，可降低后者的疗效。8.与利福平合用，增加本品的消除，血药浓度降低。9.异烟肼抑制本品的消除，致血药浓度增高。10.与地高辛合用，可增加地高辛血药浓度而致中毒。</w:t>
      </w:r>
    </w:p>
    <w:p w:rsidR="0068428C" w:rsidRPr="00144CD5" w:rsidRDefault="0068428C" w:rsidP="0068428C">
      <w:pPr>
        <w:spacing w:line="360" w:lineRule="exact"/>
        <w:rPr>
          <w:rFonts w:ascii="宋体" w:hAnsi="宋体"/>
          <w:sz w:val="24"/>
        </w:rPr>
      </w:pPr>
      <w:r w:rsidRPr="00144CD5">
        <w:rPr>
          <w:rFonts w:ascii="宋体" w:hAnsi="宋体" w:hint="eastAsia"/>
          <w:b/>
          <w:bCs/>
          <w:sz w:val="24"/>
        </w:rPr>
        <w:t>【药物过量】</w:t>
      </w:r>
      <w:r w:rsidRPr="00144CD5">
        <w:rPr>
          <w:rFonts w:ascii="宋体" w:hAnsi="宋体" w:hint="eastAsia"/>
          <w:sz w:val="24"/>
        </w:rPr>
        <w:t xml:space="preserve"> 出现持续的精神错乱、严重嗜睡、抖动、语言不清、蹒跚、心跳异常减慢、呼吸短促或困难、严重乏力。超量或中毒宜及早对症处理，最重要的是对呼吸循环方面的支持疗法，此外苯二氮</w:t>
      </w:r>
      <w:r w:rsidRPr="009D527E">
        <w:rPr>
          <w:rFonts w:ascii="Arial" w:hAnsi="Arial" w:cs="Arial"/>
          <w:sz w:val="24"/>
          <w:shd w:val="clear" w:color="auto" w:fill="FFFFFF"/>
        </w:rPr>
        <w:t>䓬</w:t>
      </w:r>
      <w:r w:rsidRPr="00144CD5">
        <w:rPr>
          <w:rFonts w:ascii="宋体" w:hAnsi="宋体" w:hint="eastAsia"/>
          <w:sz w:val="24"/>
        </w:rPr>
        <w:t>受体拮抗</w:t>
      </w:r>
      <w:proofErr w:type="gramStart"/>
      <w:r w:rsidRPr="00144CD5">
        <w:rPr>
          <w:rFonts w:ascii="宋体" w:hAnsi="宋体" w:hint="eastAsia"/>
          <w:sz w:val="24"/>
        </w:rPr>
        <w:t>剂氟马</w:t>
      </w:r>
      <w:proofErr w:type="gramEnd"/>
      <w:r w:rsidRPr="00144CD5">
        <w:rPr>
          <w:rFonts w:ascii="宋体" w:hAnsi="宋体" w:hint="eastAsia"/>
          <w:sz w:val="24"/>
        </w:rPr>
        <w:t>西尼(flumazenil)可用于该类药物过量中毒的解救和诊断。中毒出现兴奋异常时，不能用巴比妥类药。</w:t>
      </w:r>
    </w:p>
    <w:p w:rsidR="0068428C" w:rsidRPr="00144CD5" w:rsidRDefault="0068428C" w:rsidP="0068428C">
      <w:pPr>
        <w:spacing w:line="360" w:lineRule="exact"/>
        <w:rPr>
          <w:rFonts w:ascii="宋体" w:hAnsi="宋体"/>
          <w:sz w:val="24"/>
        </w:rPr>
      </w:pPr>
      <w:r w:rsidRPr="00144CD5">
        <w:rPr>
          <w:rFonts w:ascii="宋体" w:hAnsi="宋体" w:hint="eastAsia"/>
          <w:b/>
          <w:bCs/>
          <w:sz w:val="24"/>
        </w:rPr>
        <w:t>【药理毒理】</w:t>
      </w:r>
      <w:r w:rsidRPr="00144CD5">
        <w:rPr>
          <w:rFonts w:ascii="宋体" w:hAnsi="宋体" w:hint="eastAsia"/>
          <w:sz w:val="24"/>
        </w:rPr>
        <w:t xml:space="preserve"> 本品为长效苯二氮</w:t>
      </w:r>
      <w:r w:rsidRPr="009D527E">
        <w:rPr>
          <w:rFonts w:ascii="Arial" w:hAnsi="Arial" w:cs="Arial"/>
          <w:sz w:val="24"/>
          <w:shd w:val="clear" w:color="auto" w:fill="FFFFFF"/>
        </w:rPr>
        <w:t>䓬</w:t>
      </w:r>
      <w:r w:rsidRPr="00144CD5">
        <w:rPr>
          <w:rFonts w:ascii="宋体" w:hAnsi="宋体" w:hint="eastAsia"/>
          <w:sz w:val="24"/>
        </w:rPr>
        <w:t>类药。苯二氮</w:t>
      </w:r>
      <w:r w:rsidRPr="009D527E">
        <w:rPr>
          <w:rFonts w:ascii="Arial" w:hAnsi="Arial" w:cs="Arial"/>
          <w:sz w:val="24"/>
          <w:shd w:val="clear" w:color="auto" w:fill="FFFFFF"/>
        </w:rPr>
        <w:t>䓬</w:t>
      </w:r>
      <w:r w:rsidRPr="00144CD5">
        <w:rPr>
          <w:rFonts w:ascii="宋体" w:hAnsi="宋体" w:hint="eastAsia"/>
          <w:sz w:val="24"/>
        </w:rPr>
        <w:t>类为中枢神经系统抑制药，可引起中枢神经系统不同部位的抑制，随着用量的加大，临床表现可自轻度的</w:t>
      </w:r>
      <w:proofErr w:type="gramStart"/>
      <w:r w:rsidRPr="00144CD5">
        <w:rPr>
          <w:rFonts w:ascii="宋体" w:hAnsi="宋体" w:hint="eastAsia"/>
          <w:sz w:val="24"/>
        </w:rPr>
        <w:t>镇静到</w:t>
      </w:r>
      <w:proofErr w:type="gramEnd"/>
      <w:r w:rsidRPr="00144CD5">
        <w:rPr>
          <w:rFonts w:ascii="宋体" w:hAnsi="宋体" w:hint="eastAsia"/>
          <w:sz w:val="24"/>
        </w:rPr>
        <w:t>催眠甚至昏迷。本类药的作用部位与机制尚未完全阐明，认为可以加强或易化γ-氨基丁酸(GABA)的抑制性神经递质的作用，GABA在苯二氮</w:t>
      </w:r>
      <w:r w:rsidRPr="009D527E">
        <w:rPr>
          <w:rFonts w:ascii="Arial" w:hAnsi="Arial" w:cs="Arial"/>
          <w:sz w:val="24"/>
          <w:shd w:val="clear" w:color="auto" w:fill="FFFFFF"/>
        </w:rPr>
        <w:t>䓬</w:t>
      </w:r>
      <w:r w:rsidRPr="00144CD5">
        <w:rPr>
          <w:rFonts w:ascii="宋体" w:hAnsi="宋体" w:hint="eastAsia"/>
          <w:sz w:val="24"/>
        </w:rPr>
        <w:t>受体相互作用下，主要在中枢神经各个部位，起突触前和突触后的抑制作用。本类药为苯二氮</w:t>
      </w:r>
      <w:r w:rsidRPr="009D527E">
        <w:rPr>
          <w:rFonts w:ascii="Arial" w:hAnsi="Arial" w:cs="Arial"/>
          <w:sz w:val="24"/>
          <w:shd w:val="clear" w:color="auto" w:fill="FFFFFF"/>
        </w:rPr>
        <w:t>䓬</w:t>
      </w:r>
      <w:r w:rsidRPr="00144CD5">
        <w:rPr>
          <w:rFonts w:ascii="宋体" w:hAnsi="宋体" w:hint="eastAsia"/>
          <w:sz w:val="24"/>
        </w:rPr>
        <w:t>受体的激动剂，苯二氮</w:t>
      </w:r>
      <w:r w:rsidRPr="009D527E">
        <w:rPr>
          <w:rFonts w:ascii="Arial" w:hAnsi="Arial" w:cs="Arial"/>
          <w:sz w:val="24"/>
          <w:shd w:val="clear" w:color="auto" w:fill="FFFFFF"/>
        </w:rPr>
        <w:t>䓬</w:t>
      </w:r>
      <w:r w:rsidRPr="00144CD5">
        <w:rPr>
          <w:rFonts w:ascii="宋体" w:hAnsi="宋体" w:hint="eastAsia"/>
          <w:sz w:val="24"/>
        </w:rPr>
        <w:t>受体为功能性超分子（supramolecular）功能单位，又称为苯二氮</w:t>
      </w:r>
      <w:r w:rsidRPr="009D527E">
        <w:rPr>
          <w:rFonts w:ascii="Arial" w:hAnsi="Arial" w:cs="Arial"/>
          <w:sz w:val="24"/>
          <w:shd w:val="clear" w:color="auto" w:fill="FFFFFF"/>
        </w:rPr>
        <w:t>䓬</w:t>
      </w:r>
      <w:r w:rsidRPr="00144CD5">
        <w:rPr>
          <w:rFonts w:ascii="宋体" w:hAnsi="宋体" w:hint="eastAsia"/>
          <w:sz w:val="24"/>
        </w:rPr>
        <w:t xml:space="preserve"> - GABA受体-</w:t>
      </w:r>
      <w:proofErr w:type="gramStart"/>
      <w:r w:rsidRPr="00144CD5">
        <w:rPr>
          <w:rFonts w:ascii="宋体" w:hAnsi="宋体" w:hint="eastAsia"/>
          <w:sz w:val="24"/>
        </w:rPr>
        <w:t>亲氯离子</w:t>
      </w:r>
      <w:proofErr w:type="gramEnd"/>
      <w:r w:rsidRPr="00144CD5">
        <w:rPr>
          <w:rFonts w:ascii="宋体" w:hAnsi="宋体" w:hint="eastAsia"/>
          <w:sz w:val="24"/>
        </w:rPr>
        <w:t>复合物的组成部分。受体复合物位于神经细胞膜，调节细胞的放电，</w:t>
      </w:r>
      <w:proofErr w:type="gramStart"/>
      <w:r w:rsidRPr="00144CD5">
        <w:rPr>
          <w:rFonts w:ascii="宋体" w:hAnsi="宋体" w:hint="eastAsia"/>
          <w:sz w:val="24"/>
        </w:rPr>
        <w:t>主要起氯通道</w:t>
      </w:r>
      <w:proofErr w:type="gramEnd"/>
      <w:r w:rsidRPr="00144CD5">
        <w:rPr>
          <w:rFonts w:ascii="宋体" w:hAnsi="宋体" w:hint="eastAsia"/>
          <w:sz w:val="24"/>
        </w:rPr>
        <w:t>的</w:t>
      </w:r>
      <w:proofErr w:type="gramStart"/>
      <w:r w:rsidRPr="00144CD5">
        <w:rPr>
          <w:rFonts w:ascii="宋体" w:hAnsi="宋体" w:hint="eastAsia"/>
          <w:sz w:val="24"/>
        </w:rPr>
        <w:t>阈</w:t>
      </w:r>
      <w:proofErr w:type="gramEnd"/>
      <w:r w:rsidRPr="00144CD5">
        <w:rPr>
          <w:rFonts w:ascii="宋体" w:hAnsi="宋体" w:hint="eastAsia"/>
          <w:sz w:val="24"/>
        </w:rPr>
        <w:t>阀(gating)功能。GABA受体激活导致氯通道开发，使氯离子通过神经细胞膜流动，引起突触后神经元的超极化，抑制神经元的放电，这个抑制转译为降低神经元兴奋性，减少下一步去极化兴奋性递质。苯二氮</w:t>
      </w:r>
      <w:r w:rsidRPr="009D527E">
        <w:rPr>
          <w:rFonts w:ascii="Arial" w:hAnsi="Arial" w:cs="Arial"/>
          <w:sz w:val="24"/>
          <w:shd w:val="clear" w:color="auto" w:fill="FFFFFF"/>
        </w:rPr>
        <w:t>䓬</w:t>
      </w:r>
      <w:r w:rsidRPr="00144CD5">
        <w:rPr>
          <w:rFonts w:ascii="宋体" w:hAnsi="宋体" w:hint="eastAsia"/>
          <w:sz w:val="24"/>
        </w:rPr>
        <w:t>类增加氯通道开发的频率，可能通过增强GABA与其受体的结合或易化GABA受体与氯离子通道的联系来实现。苯二氮</w:t>
      </w:r>
      <w:r w:rsidRPr="009D527E">
        <w:rPr>
          <w:rFonts w:ascii="Arial" w:hAnsi="Arial" w:cs="Arial"/>
          <w:sz w:val="24"/>
          <w:shd w:val="clear" w:color="auto" w:fill="FFFFFF"/>
        </w:rPr>
        <w:t>䓬</w:t>
      </w:r>
      <w:r w:rsidRPr="00144CD5">
        <w:rPr>
          <w:rFonts w:ascii="宋体" w:hAnsi="宋体" w:hint="eastAsia"/>
          <w:sz w:val="24"/>
        </w:rPr>
        <w:t>类还作用在GABA依赖性受体。（1）抗焦虑、镇静催眠作用。通过刺激上行性网状激活系统内的GABA受体，提高GABA在中枢神经系统的抑制，增强脑干网状结构受刺激后的皮层和边缘性觉醒反应的抑制和阻断。分子药理学研究提示，减少或拮抗GABA的合成，本类药的镇静催眠作用降低，如增加其浓度则能加强苯二氮</w:t>
      </w:r>
      <w:r w:rsidRPr="009D527E">
        <w:rPr>
          <w:rFonts w:ascii="Arial" w:hAnsi="Arial" w:cs="Arial"/>
          <w:sz w:val="24"/>
          <w:shd w:val="clear" w:color="auto" w:fill="FFFFFF"/>
        </w:rPr>
        <w:t>䓬</w:t>
      </w:r>
      <w:r w:rsidRPr="00144CD5">
        <w:rPr>
          <w:rFonts w:ascii="宋体" w:hAnsi="宋体" w:hint="eastAsia"/>
          <w:sz w:val="24"/>
        </w:rPr>
        <w:t>类药的催眠作用。（2）遗忘作用。地西</w:t>
      </w:r>
      <w:proofErr w:type="gramStart"/>
      <w:r w:rsidRPr="00144CD5">
        <w:rPr>
          <w:rFonts w:ascii="宋体" w:hAnsi="宋体" w:hint="eastAsia"/>
          <w:sz w:val="24"/>
        </w:rPr>
        <w:t>泮</w:t>
      </w:r>
      <w:proofErr w:type="gramEnd"/>
      <w:r w:rsidRPr="00144CD5">
        <w:rPr>
          <w:rFonts w:ascii="宋体" w:hAnsi="宋体" w:hint="eastAsia"/>
          <w:sz w:val="24"/>
        </w:rPr>
        <w:t>在治疗剂量时可以干扰记忆通路的建立，从而影响近事记忆。（3）抗惊厥作用。可能由于增强突触前抑制，抑制皮质-丘脑和边缘系统的致</w:t>
      </w:r>
      <w:proofErr w:type="gramStart"/>
      <w:r w:rsidRPr="00144CD5">
        <w:rPr>
          <w:rFonts w:ascii="宋体" w:hAnsi="宋体" w:hint="eastAsia"/>
          <w:sz w:val="24"/>
        </w:rPr>
        <w:t>痫</w:t>
      </w:r>
      <w:proofErr w:type="gramEnd"/>
      <w:r w:rsidRPr="00144CD5">
        <w:rPr>
          <w:rFonts w:ascii="宋体" w:hAnsi="宋体" w:hint="eastAsia"/>
          <w:sz w:val="24"/>
        </w:rPr>
        <w:t>灶引起</w:t>
      </w:r>
      <w:r>
        <w:rPr>
          <w:rFonts w:ascii="宋体" w:hAnsi="宋体" w:hint="eastAsia"/>
          <w:sz w:val="24"/>
        </w:rPr>
        <w:t>癫痫</w:t>
      </w:r>
      <w:r w:rsidRPr="00144CD5">
        <w:rPr>
          <w:rFonts w:ascii="宋体" w:hAnsi="宋体" w:hint="eastAsia"/>
          <w:sz w:val="24"/>
        </w:rPr>
        <w:t>活动的扩散，但不能消除病灶的异常活动。（4）骨骼肌松弛作</w:t>
      </w:r>
    </w:p>
    <w:p w:rsidR="0068428C" w:rsidRPr="00144CD5" w:rsidRDefault="0068428C" w:rsidP="0068428C">
      <w:pPr>
        <w:spacing w:line="360" w:lineRule="exact"/>
        <w:rPr>
          <w:rFonts w:ascii="宋体" w:hAnsi="宋体"/>
          <w:sz w:val="24"/>
        </w:rPr>
      </w:pPr>
      <w:r w:rsidRPr="00144CD5">
        <w:rPr>
          <w:rFonts w:ascii="宋体" w:hAnsi="宋体" w:hint="eastAsia"/>
          <w:sz w:val="24"/>
        </w:rPr>
        <w:t>用。主要抑制脊髓多突触传出通路和单突触传出通路。地西</w:t>
      </w:r>
      <w:proofErr w:type="gramStart"/>
      <w:r w:rsidRPr="00144CD5">
        <w:rPr>
          <w:rFonts w:ascii="宋体" w:hAnsi="宋体" w:hint="eastAsia"/>
          <w:sz w:val="24"/>
        </w:rPr>
        <w:t>泮</w:t>
      </w:r>
      <w:proofErr w:type="gramEnd"/>
      <w:r w:rsidRPr="00144CD5">
        <w:rPr>
          <w:rFonts w:ascii="宋体" w:hAnsi="宋体" w:hint="eastAsia"/>
          <w:sz w:val="24"/>
        </w:rPr>
        <w:t>由于具有抑制性神经递质或阻断兴奋性突触传递而抑制多突触和单突触反射。苯二氮</w:t>
      </w:r>
      <w:r w:rsidRPr="009D527E">
        <w:rPr>
          <w:rFonts w:ascii="Arial" w:hAnsi="Arial" w:cs="Arial"/>
          <w:sz w:val="24"/>
          <w:shd w:val="clear" w:color="auto" w:fill="FFFFFF"/>
        </w:rPr>
        <w:t>䓬</w:t>
      </w:r>
      <w:r w:rsidRPr="00144CD5">
        <w:rPr>
          <w:rFonts w:ascii="宋体" w:hAnsi="宋体" w:hint="eastAsia"/>
          <w:sz w:val="24"/>
        </w:rPr>
        <w:t>类也可能直接抑制运动神经和肌肉功能。</w:t>
      </w:r>
    </w:p>
    <w:p w:rsidR="0068428C" w:rsidRPr="00144CD5" w:rsidRDefault="0068428C" w:rsidP="0068428C">
      <w:pPr>
        <w:spacing w:line="360" w:lineRule="exact"/>
        <w:rPr>
          <w:rFonts w:ascii="宋体" w:hAnsi="宋体"/>
          <w:sz w:val="24"/>
        </w:rPr>
      </w:pPr>
      <w:r w:rsidRPr="00144CD5">
        <w:rPr>
          <w:rFonts w:ascii="宋体" w:hAnsi="宋体" w:hint="eastAsia"/>
          <w:b/>
          <w:bCs/>
          <w:sz w:val="24"/>
        </w:rPr>
        <w:t>【药代动力学】</w:t>
      </w:r>
      <w:r w:rsidRPr="00144CD5">
        <w:rPr>
          <w:rFonts w:ascii="宋体" w:hAnsi="宋体" w:hint="eastAsia"/>
          <w:sz w:val="24"/>
        </w:rPr>
        <w:t xml:space="preserve"> 肌注吸收慢而不规则，亦不完全，急需发挥疗效时应静脉注射。肌注20分钟内、静注1-3分钟起效。开始静注后迅速经血流进入中枢神经，作用快，</w:t>
      </w:r>
      <w:proofErr w:type="gramStart"/>
      <w:r w:rsidRPr="00144CD5">
        <w:rPr>
          <w:rFonts w:ascii="宋体" w:hAnsi="宋体" w:hint="eastAsia"/>
          <w:sz w:val="24"/>
        </w:rPr>
        <w:t>但转移</w:t>
      </w:r>
      <w:proofErr w:type="gramEnd"/>
      <w:r w:rsidRPr="00144CD5">
        <w:rPr>
          <w:rFonts w:ascii="宋体" w:hAnsi="宋体" w:hint="eastAsia"/>
          <w:sz w:val="24"/>
        </w:rPr>
        <w:t>进入其他组织也快，作用消失也快。肌注0.5-1.5小时、静注0.25</w:t>
      </w:r>
    </w:p>
    <w:p w:rsidR="0068428C" w:rsidRPr="00144CD5" w:rsidRDefault="0068428C" w:rsidP="0068428C">
      <w:pPr>
        <w:spacing w:line="360" w:lineRule="exact"/>
        <w:rPr>
          <w:rFonts w:ascii="宋体" w:hAnsi="宋体"/>
          <w:sz w:val="24"/>
        </w:rPr>
      </w:pPr>
      <w:r w:rsidRPr="00144CD5">
        <w:rPr>
          <w:rFonts w:ascii="宋体" w:hAnsi="宋体" w:hint="eastAsia"/>
          <w:sz w:val="24"/>
        </w:rPr>
        <w:t>小时血药浓度达峰值，4-10天血药浓度达稳态，T</w:t>
      </w:r>
      <w:r w:rsidRPr="00144CD5">
        <w:rPr>
          <w:rFonts w:ascii="宋体" w:hAnsi="宋体" w:hint="eastAsia"/>
          <w:sz w:val="24"/>
          <w:vertAlign w:val="subscript"/>
        </w:rPr>
        <w:t>1/2</w:t>
      </w:r>
      <w:r w:rsidRPr="00144CD5">
        <w:rPr>
          <w:rFonts w:ascii="宋体" w:hAnsi="宋体" w:hint="eastAsia"/>
          <w:sz w:val="24"/>
        </w:rPr>
        <w:t>为20-70小时，血浆蛋白结合率高达99%。本品主要在肝脏代谢，代谢产物有去甲地西</w:t>
      </w:r>
      <w:proofErr w:type="gramStart"/>
      <w:r w:rsidRPr="00144CD5">
        <w:rPr>
          <w:rFonts w:ascii="宋体" w:hAnsi="宋体" w:hint="eastAsia"/>
          <w:sz w:val="24"/>
        </w:rPr>
        <w:t>泮</w:t>
      </w:r>
      <w:proofErr w:type="gramEnd"/>
      <w:r w:rsidRPr="00144CD5">
        <w:rPr>
          <w:rFonts w:ascii="宋体" w:hAnsi="宋体" w:hint="eastAsia"/>
          <w:sz w:val="24"/>
        </w:rPr>
        <w:t>、去甲</w:t>
      </w:r>
      <w:proofErr w:type="gramStart"/>
      <w:r w:rsidRPr="00144CD5">
        <w:rPr>
          <w:rFonts w:ascii="宋体" w:hAnsi="宋体" w:hint="eastAsia"/>
          <w:sz w:val="24"/>
        </w:rPr>
        <w:t>羟地西泮</w:t>
      </w:r>
      <w:proofErr w:type="gramEnd"/>
      <w:r w:rsidRPr="00144CD5">
        <w:rPr>
          <w:rFonts w:ascii="宋体" w:hAnsi="宋体" w:hint="eastAsia"/>
          <w:sz w:val="24"/>
        </w:rPr>
        <w:t>等，亦有不同程度的药理活性，去甲地西</w:t>
      </w:r>
      <w:proofErr w:type="gramStart"/>
      <w:r w:rsidRPr="00144CD5">
        <w:rPr>
          <w:rFonts w:ascii="宋体" w:hAnsi="宋体" w:hint="eastAsia"/>
          <w:sz w:val="24"/>
        </w:rPr>
        <w:t>泮</w:t>
      </w:r>
      <w:proofErr w:type="gramEnd"/>
      <w:r w:rsidRPr="00144CD5">
        <w:rPr>
          <w:rFonts w:ascii="宋体" w:hAnsi="宋体" w:hint="eastAsia"/>
          <w:sz w:val="24"/>
        </w:rPr>
        <w:t>的T</w:t>
      </w:r>
      <w:r w:rsidRPr="00144CD5">
        <w:rPr>
          <w:rFonts w:ascii="宋体" w:hAnsi="宋体" w:hint="eastAsia"/>
          <w:sz w:val="24"/>
          <w:vertAlign w:val="subscript"/>
        </w:rPr>
        <w:t>1/2</w:t>
      </w:r>
      <w:r w:rsidRPr="00144CD5">
        <w:rPr>
          <w:rFonts w:ascii="宋体" w:hAnsi="宋体" w:hint="eastAsia"/>
          <w:sz w:val="24"/>
        </w:rPr>
        <w:t>可达30-100小时。本品有肠肝循环，长期用药有蓄积作用。代谢产物可滞留在血液中数天甚至数周，停药后消除较慢。地西</w:t>
      </w:r>
      <w:proofErr w:type="gramStart"/>
      <w:r w:rsidRPr="00144CD5">
        <w:rPr>
          <w:rFonts w:ascii="宋体" w:hAnsi="宋体" w:hint="eastAsia"/>
          <w:sz w:val="24"/>
        </w:rPr>
        <w:t>泮</w:t>
      </w:r>
      <w:proofErr w:type="gramEnd"/>
      <w:r w:rsidRPr="00144CD5">
        <w:rPr>
          <w:rFonts w:ascii="宋体" w:hAnsi="宋体" w:hint="eastAsia"/>
          <w:sz w:val="24"/>
        </w:rPr>
        <w:t>主要以代谢物的游离或结合形式经肾排泄。</w:t>
      </w:r>
    </w:p>
    <w:p w:rsidR="0068428C" w:rsidRPr="00144CD5" w:rsidRDefault="0068428C" w:rsidP="0068428C">
      <w:pPr>
        <w:spacing w:line="360" w:lineRule="exact"/>
        <w:rPr>
          <w:rFonts w:ascii="宋体" w:hAnsi="宋体"/>
          <w:sz w:val="24"/>
        </w:rPr>
      </w:pPr>
      <w:r w:rsidRPr="00144CD5">
        <w:rPr>
          <w:rFonts w:ascii="宋体" w:hAnsi="宋体" w:hint="eastAsia"/>
          <w:b/>
          <w:sz w:val="24"/>
        </w:rPr>
        <w:t>【贮 藏】</w:t>
      </w:r>
      <w:r w:rsidRPr="00144CD5">
        <w:rPr>
          <w:rFonts w:ascii="宋体" w:hAnsi="宋体" w:hint="eastAsia"/>
          <w:sz w:val="24"/>
        </w:rPr>
        <w:t>遮光，密闭保存。</w:t>
      </w:r>
    </w:p>
    <w:p w:rsidR="0068428C" w:rsidRPr="00144CD5" w:rsidRDefault="0068428C" w:rsidP="0068428C">
      <w:pPr>
        <w:spacing w:line="360" w:lineRule="exact"/>
        <w:rPr>
          <w:rFonts w:ascii="宋体" w:hAnsi="宋体"/>
          <w:sz w:val="24"/>
        </w:rPr>
      </w:pPr>
      <w:r w:rsidRPr="00144CD5">
        <w:rPr>
          <w:rFonts w:ascii="宋体" w:hAnsi="宋体" w:hint="eastAsia"/>
          <w:bCs/>
          <w:sz w:val="24"/>
        </w:rPr>
        <w:t>【</w:t>
      </w:r>
      <w:r w:rsidRPr="00144CD5">
        <w:rPr>
          <w:rFonts w:ascii="宋体" w:hAnsi="宋体" w:hint="eastAsia"/>
          <w:b/>
          <w:sz w:val="24"/>
        </w:rPr>
        <w:t>包 装</w:t>
      </w:r>
      <w:r w:rsidRPr="00144CD5">
        <w:rPr>
          <w:rFonts w:ascii="宋体" w:hAnsi="宋体" w:hint="eastAsia"/>
          <w:bCs/>
          <w:sz w:val="24"/>
        </w:rPr>
        <w:t>】</w:t>
      </w:r>
      <w:proofErr w:type="gramStart"/>
      <w:r w:rsidRPr="00144CD5">
        <w:rPr>
          <w:rFonts w:ascii="宋体" w:hAnsi="宋体" w:hint="eastAsia"/>
          <w:sz w:val="24"/>
        </w:rPr>
        <w:t>低硼硅玻璃</w:t>
      </w:r>
      <w:proofErr w:type="gramEnd"/>
      <w:r w:rsidRPr="00144CD5">
        <w:rPr>
          <w:rFonts w:ascii="宋体" w:hAnsi="宋体" w:hint="eastAsia"/>
          <w:sz w:val="24"/>
        </w:rPr>
        <w:t>安瓿、纸盒，10支/盒</w:t>
      </w:r>
      <w:r w:rsidRPr="00144CD5">
        <w:rPr>
          <w:rFonts w:ascii="宋体" w:hAnsi="宋体" w:hint="eastAsia"/>
          <w:bCs/>
          <w:sz w:val="24"/>
        </w:rPr>
        <w:t>。</w:t>
      </w:r>
    </w:p>
    <w:p w:rsidR="0068428C" w:rsidRPr="00144CD5" w:rsidRDefault="0068428C" w:rsidP="0068428C">
      <w:pPr>
        <w:spacing w:line="360" w:lineRule="exact"/>
        <w:rPr>
          <w:rFonts w:ascii="宋体" w:hAnsi="宋体"/>
          <w:bCs/>
          <w:sz w:val="24"/>
        </w:rPr>
      </w:pPr>
      <w:r w:rsidRPr="00144CD5">
        <w:rPr>
          <w:rFonts w:ascii="宋体" w:hAnsi="宋体" w:hint="eastAsia"/>
          <w:b/>
          <w:sz w:val="24"/>
        </w:rPr>
        <w:t>【有 效 期】</w:t>
      </w:r>
      <w:r w:rsidRPr="00144CD5">
        <w:rPr>
          <w:rFonts w:ascii="宋体" w:hAnsi="宋体" w:hint="eastAsia"/>
          <w:bCs/>
          <w:sz w:val="24"/>
        </w:rPr>
        <w:t>36个月。</w:t>
      </w:r>
    </w:p>
    <w:p w:rsidR="0068428C" w:rsidRPr="00144CD5" w:rsidRDefault="0068428C" w:rsidP="0068428C">
      <w:pPr>
        <w:spacing w:line="360" w:lineRule="exact"/>
        <w:rPr>
          <w:rFonts w:ascii="宋体" w:hAnsi="宋体"/>
          <w:b/>
          <w:sz w:val="24"/>
        </w:rPr>
      </w:pPr>
      <w:r w:rsidRPr="00144CD5">
        <w:rPr>
          <w:rFonts w:ascii="宋体" w:hAnsi="宋体" w:hint="eastAsia"/>
          <w:b/>
          <w:sz w:val="24"/>
        </w:rPr>
        <w:t>【执行标准】</w:t>
      </w:r>
      <w:r w:rsidRPr="00144CD5">
        <w:rPr>
          <w:rFonts w:ascii="宋体" w:hAnsi="宋体" w:hint="eastAsia"/>
          <w:sz w:val="24"/>
        </w:rPr>
        <w:t>中国药典20</w:t>
      </w:r>
      <w:r>
        <w:rPr>
          <w:rFonts w:ascii="宋体" w:hAnsi="宋体" w:hint="eastAsia"/>
          <w:sz w:val="24"/>
        </w:rPr>
        <w:t>20</w:t>
      </w:r>
      <w:r w:rsidRPr="00144CD5">
        <w:rPr>
          <w:rFonts w:ascii="宋体" w:hAnsi="宋体" w:hint="eastAsia"/>
          <w:sz w:val="24"/>
        </w:rPr>
        <w:t>年版二部。</w:t>
      </w:r>
    </w:p>
    <w:p w:rsidR="0068428C" w:rsidRPr="00144CD5" w:rsidRDefault="0068428C" w:rsidP="0068428C">
      <w:pPr>
        <w:spacing w:line="360" w:lineRule="exact"/>
        <w:rPr>
          <w:rFonts w:ascii="宋体" w:hAnsi="宋体"/>
          <w:sz w:val="24"/>
        </w:rPr>
      </w:pPr>
      <w:r w:rsidRPr="00144CD5">
        <w:rPr>
          <w:rFonts w:ascii="宋体" w:hAnsi="宋体" w:hint="eastAsia"/>
          <w:b/>
          <w:bCs/>
          <w:sz w:val="24"/>
        </w:rPr>
        <w:t>【批准文号】</w:t>
      </w:r>
      <w:r w:rsidRPr="00144CD5">
        <w:rPr>
          <w:rFonts w:ascii="宋体" w:hAnsi="宋体" w:hint="eastAsia"/>
          <w:sz w:val="24"/>
        </w:rPr>
        <w:t>国药准字H41025470</w:t>
      </w:r>
    </w:p>
    <w:p w:rsidR="0068428C" w:rsidRPr="00144CD5" w:rsidRDefault="0068428C" w:rsidP="0068428C">
      <w:pPr>
        <w:outlineLvl w:val="0"/>
        <w:rPr>
          <w:rFonts w:ascii="宋体" w:hAnsi="宋体"/>
          <w:sz w:val="24"/>
        </w:rPr>
      </w:pPr>
      <w:r w:rsidRPr="00144CD5">
        <w:rPr>
          <w:rFonts w:ascii="宋体" w:hAnsi="宋体" w:hint="eastAsia"/>
          <w:sz w:val="24"/>
        </w:rPr>
        <w:t>【</w:t>
      </w:r>
      <w:r w:rsidRPr="00144CD5">
        <w:rPr>
          <w:rFonts w:ascii="宋体" w:hAnsi="宋体" w:hint="eastAsia"/>
          <w:b/>
          <w:sz w:val="24"/>
        </w:rPr>
        <w:t>上市许可持有人</w:t>
      </w:r>
      <w:r w:rsidRPr="00144CD5">
        <w:rPr>
          <w:rFonts w:ascii="宋体" w:hAnsi="宋体" w:hint="eastAsia"/>
          <w:sz w:val="24"/>
        </w:rPr>
        <w:t>】海南制药厂有限公司制药二厂</w:t>
      </w:r>
    </w:p>
    <w:p w:rsidR="0068428C" w:rsidRPr="00144CD5" w:rsidRDefault="0068428C" w:rsidP="0068428C">
      <w:pPr>
        <w:outlineLvl w:val="0"/>
        <w:rPr>
          <w:rFonts w:ascii="宋体" w:hAnsi="宋体"/>
          <w:sz w:val="24"/>
        </w:rPr>
      </w:pPr>
      <w:r w:rsidRPr="00144CD5">
        <w:rPr>
          <w:rFonts w:ascii="宋体" w:hAnsi="宋体" w:hint="eastAsia"/>
          <w:sz w:val="24"/>
        </w:rPr>
        <w:t>【</w:t>
      </w:r>
      <w:r w:rsidRPr="00144CD5">
        <w:rPr>
          <w:rFonts w:ascii="宋体" w:hAnsi="宋体" w:hint="eastAsia"/>
          <w:b/>
          <w:sz w:val="24"/>
        </w:rPr>
        <w:t>地    址</w:t>
      </w:r>
      <w:r w:rsidRPr="00144CD5">
        <w:rPr>
          <w:rFonts w:ascii="宋体" w:hAnsi="宋体" w:hint="eastAsia"/>
          <w:sz w:val="24"/>
        </w:rPr>
        <w:t>】林州市</w:t>
      </w:r>
      <w:proofErr w:type="gramStart"/>
      <w:r w:rsidRPr="00144CD5">
        <w:rPr>
          <w:rFonts w:ascii="宋体" w:hAnsi="宋体" w:hint="eastAsia"/>
          <w:sz w:val="24"/>
        </w:rPr>
        <w:t>史家河</w:t>
      </w:r>
      <w:proofErr w:type="gramEnd"/>
      <w:r w:rsidRPr="00144CD5">
        <w:rPr>
          <w:rFonts w:ascii="宋体" w:hAnsi="宋体" w:hint="eastAsia"/>
          <w:sz w:val="24"/>
        </w:rPr>
        <w:t>工业园区</w:t>
      </w:r>
    </w:p>
    <w:p w:rsidR="0068428C" w:rsidRPr="00144CD5" w:rsidRDefault="0068428C" w:rsidP="0068428C">
      <w:pPr>
        <w:spacing w:line="360" w:lineRule="exact"/>
        <w:rPr>
          <w:rFonts w:ascii="宋体" w:hAnsi="宋体"/>
          <w:b/>
          <w:bCs/>
          <w:sz w:val="24"/>
        </w:rPr>
      </w:pPr>
      <w:r w:rsidRPr="00144CD5">
        <w:rPr>
          <w:rFonts w:ascii="宋体" w:hAnsi="宋体" w:hint="eastAsia"/>
          <w:b/>
          <w:bCs/>
          <w:sz w:val="24"/>
        </w:rPr>
        <w:t>【生产企业】</w:t>
      </w:r>
    </w:p>
    <w:p w:rsidR="0068428C" w:rsidRPr="00144CD5" w:rsidRDefault="0068428C" w:rsidP="0068428C">
      <w:pPr>
        <w:spacing w:line="360" w:lineRule="exact"/>
        <w:ind w:firstLineChars="200" w:firstLine="480"/>
        <w:rPr>
          <w:rFonts w:ascii="宋体" w:hAnsi="宋体"/>
          <w:sz w:val="24"/>
        </w:rPr>
      </w:pPr>
      <w:r w:rsidRPr="00144CD5">
        <w:rPr>
          <w:rFonts w:ascii="宋体" w:hAnsi="宋体" w:hint="eastAsia"/>
          <w:sz w:val="24"/>
        </w:rPr>
        <w:t>企业名称：海南制药厂有限公司制药二厂</w:t>
      </w:r>
    </w:p>
    <w:p w:rsidR="0068428C" w:rsidRPr="00144CD5" w:rsidRDefault="0068428C" w:rsidP="0068428C">
      <w:pPr>
        <w:spacing w:line="360" w:lineRule="exact"/>
        <w:ind w:firstLineChars="200" w:firstLine="480"/>
        <w:rPr>
          <w:rFonts w:ascii="宋体" w:hAnsi="宋体"/>
          <w:sz w:val="24"/>
        </w:rPr>
      </w:pPr>
      <w:r w:rsidRPr="00144CD5">
        <w:rPr>
          <w:rFonts w:ascii="宋体" w:hAnsi="宋体" w:hint="eastAsia"/>
          <w:sz w:val="24"/>
        </w:rPr>
        <w:t>生产地址：林州市</w:t>
      </w:r>
      <w:proofErr w:type="gramStart"/>
      <w:r w:rsidRPr="00144CD5">
        <w:rPr>
          <w:rFonts w:ascii="宋体" w:hAnsi="宋体" w:hint="eastAsia"/>
          <w:sz w:val="24"/>
        </w:rPr>
        <w:t>史家河</w:t>
      </w:r>
      <w:proofErr w:type="gramEnd"/>
      <w:r w:rsidRPr="00144CD5">
        <w:rPr>
          <w:rFonts w:ascii="宋体" w:hAnsi="宋体" w:hint="eastAsia"/>
          <w:sz w:val="24"/>
        </w:rPr>
        <w:t>工业园区</w:t>
      </w:r>
    </w:p>
    <w:p w:rsidR="0068428C" w:rsidRPr="00144CD5" w:rsidRDefault="0068428C" w:rsidP="0068428C">
      <w:pPr>
        <w:spacing w:line="360" w:lineRule="exact"/>
        <w:ind w:firstLineChars="200" w:firstLine="480"/>
        <w:rPr>
          <w:rFonts w:ascii="宋体" w:hAnsi="宋体"/>
          <w:sz w:val="24"/>
        </w:rPr>
      </w:pPr>
      <w:r w:rsidRPr="00144CD5">
        <w:rPr>
          <w:rFonts w:ascii="宋体" w:hAnsi="宋体" w:hint="eastAsia"/>
          <w:sz w:val="24"/>
        </w:rPr>
        <w:t>邮政编码：456592</w:t>
      </w:r>
    </w:p>
    <w:p w:rsidR="0068428C" w:rsidRPr="00144CD5" w:rsidRDefault="0068428C" w:rsidP="0068428C">
      <w:pPr>
        <w:spacing w:line="360" w:lineRule="exact"/>
        <w:ind w:firstLineChars="200" w:firstLine="480"/>
        <w:rPr>
          <w:rFonts w:ascii="宋体" w:hAnsi="宋体"/>
          <w:sz w:val="24"/>
        </w:rPr>
      </w:pPr>
      <w:r w:rsidRPr="00144CD5">
        <w:rPr>
          <w:rFonts w:ascii="宋体" w:hAnsi="宋体" w:hint="eastAsia"/>
          <w:sz w:val="24"/>
        </w:rPr>
        <w:t>电话号码：0372-6515111</w:t>
      </w:r>
    </w:p>
    <w:p w:rsidR="001C6FED" w:rsidRDefault="0068428C" w:rsidP="0068428C">
      <w:pPr>
        <w:spacing w:line="360" w:lineRule="exact"/>
        <w:ind w:firstLineChars="200" w:firstLine="480"/>
      </w:pPr>
      <w:r w:rsidRPr="00144CD5">
        <w:rPr>
          <w:rFonts w:ascii="宋体" w:hAnsi="宋体" w:hint="eastAsia"/>
          <w:sz w:val="24"/>
        </w:rPr>
        <w:t xml:space="preserve">传真号码：0372-6515111 </w:t>
      </w:r>
    </w:p>
    <w:sectPr w:rsidR="001C6F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28C"/>
    <w:rsid w:val="001C6FED"/>
    <w:rsid w:val="0062200C"/>
    <w:rsid w:val="00684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68428C"/>
    <w:pPr>
      <w:ind w:firstLine="420"/>
    </w:pPr>
    <w:rPr>
      <w:rFonts w:ascii="Times New Roman" w:eastAsia="宋体" w:hAnsi="Times New Roman" w:cs="Times New Roman"/>
      <w:szCs w:val="20"/>
    </w:rPr>
  </w:style>
  <w:style w:type="paragraph" w:styleId="a4">
    <w:name w:val="Balloon Text"/>
    <w:basedOn w:val="a"/>
    <w:link w:val="Char"/>
    <w:uiPriority w:val="99"/>
    <w:semiHidden/>
    <w:unhideWhenUsed/>
    <w:rsid w:val="0068428C"/>
    <w:rPr>
      <w:sz w:val="18"/>
      <w:szCs w:val="18"/>
    </w:rPr>
  </w:style>
  <w:style w:type="character" w:customStyle="1" w:styleId="Char">
    <w:name w:val="批注框文本 Char"/>
    <w:basedOn w:val="a0"/>
    <w:link w:val="a4"/>
    <w:uiPriority w:val="99"/>
    <w:semiHidden/>
    <w:rsid w:val="006842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68428C"/>
    <w:pPr>
      <w:ind w:firstLine="420"/>
    </w:pPr>
    <w:rPr>
      <w:rFonts w:ascii="Times New Roman" w:eastAsia="宋体" w:hAnsi="Times New Roman" w:cs="Times New Roman"/>
      <w:szCs w:val="20"/>
    </w:rPr>
  </w:style>
  <w:style w:type="paragraph" w:styleId="a4">
    <w:name w:val="Balloon Text"/>
    <w:basedOn w:val="a"/>
    <w:link w:val="Char"/>
    <w:uiPriority w:val="99"/>
    <w:semiHidden/>
    <w:unhideWhenUsed/>
    <w:rsid w:val="0068428C"/>
    <w:rPr>
      <w:sz w:val="18"/>
      <w:szCs w:val="18"/>
    </w:rPr>
  </w:style>
  <w:style w:type="character" w:customStyle="1" w:styleId="Char">
    <w:name w:val="批注框文本 Char"/>
    <w:basedOn w:val="a0"/>
    <w:link w:val="a4"/>
    <w:uiPriority w:val="99"/>
    <w:semiHidden/>
    <w:rsid w:val="006842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495</Words>
  <Characters>2826</Characters>
  <Application>Microsoft Office Word</Application>
  <DocSecurity>0</DocSecurity>
  <Lines>23</Lines>
  <Paragraphs>6</Paragraphs>
  <ScaleCrop>false</ScaleCrop>
  <Company>2012dnd.com</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2024-08-18T03:22:00Z</dcterms:created>
  <dcterms:modified xsi:type="dcterms:W3CDTF">2025-01-13T02:59:00Z</dcterms:modified>
</cp:coreProperties>
</file>