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13" w:rsidRDefault="00552213" w:rsidP="00552213">
      <w:pPr>
        <w:pStyle w:val="a3"/>
        <w:spacing w:line="0" w:lineRule="atLeast"/>
        <w:ind w:firstLine="0"/>
        <w:rPr>
          <w:rFonts w:ascii="宋体" w:hAnsi="宋体"/>
          <w:sz w:val="24"/>
        </w:rPr>
      </w:pPr>
      <w:bookmarkStart w:id="0" w:name="_GoBack"/>
      <w:r>
        <w:rPr>
          <w:rFonts w:ascii="宋体" w:hAnsi="宋体" w:hint="eastAsia"/>
          <w:noProof/>
          <w:sz w:val="24"/>
        </w:rPr>
        <w:drawing>
          <wp:anchor distT="0" distB="0" distL="114300" distR="114300" simplePos="0" relativeHeight="251658240" behindDoc="0" locked="0" layoutInCell="1" allowOverlap="1" wp14:anchorId="41EA0BDD" wp14:editId="4AD5EC56">
            <wp:simplePos x="0" y="0"/>
            <wp:positionH relativeFrom="column">
              <wp:posOffset>4835162</wp:posOffset>
            </wp:positionH>
            <wp:positionV relativeFrom="paragraph">
              <wp:posOffset>-37555</wp:posOffset>
            </wp:positionV>
            <wp:extent cx="313055" cy="368300"/>
            <wp:effectExtent l="0" t="0" r="0" b="0"/>
            <wp:wrapNone/>
            <wp:docPr id="1" name="图片 1"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055" cy="368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宋体" w:hAnsi="宋体"/>
          <w:sz w:val="24"/>
        </w:rPr>
        <w:t>核准日期：</w:t>
      </w:r>
      <w:r>
        <w:rPr>
          <w:rFonts w:ascii="宋体" w:hAnsi="宋体" w:hint="eastAsia"/>
          <w:sz w:val="24"/>
        </w:rPr>
        <w:t>2007年05月28日</w:t>
      </w:r>
    </w:p>
    <w:p w:rsidR="00552213" w:rsidRDefault="00552213" w:rsidP="00552213">
      <w:pPr>
        <w:pStyle w:val="a3"/>
        <w:spacing w:line="0" w:lineRule="atLeast"/>
        <w:ind w:firstLine="0"/>
        <w:rPr>
          <w:rFonts w:ascii="宋体" w:hAnsi="宋体"/>
          <w:sz w:val="24"/>
        </w:rPr>
      </w:pPr>
      <w:r>
        <w:rPr>
          <w:rFonts w:ascii="宋体" w:hAnsi="宋体" w:hint="eastAsia"/>
          <w:sz w:val="24"/>
        </w:rPr>
        <w:t>修订日期：2022年10月17日</w:t>
      </w:r>
    </w:p>
    <w:p w:rsidR="00552213" w:rsidRPr="00635AB5" w:rsidRDefault="00552213" w:rsidP="00552213">
      <w:pPr>
        <w:spacing w:line="360" w:lineRule="auto"/>
        <w:jc w:val="center"/>
        <w:rPr>
          <w:b/>
          <w:sz w:val="32"/>
          <w:szCs w:val="32"/>
        </w:rPr>
      </w:pPr>
      <w:r w:rsidRPr="00635AB5">
        <w:rPr>
          <w:rFonts w:hint="eastAsia"/>
          <w:b/>
          <w:sz w:val="32"/>
          <w:szCs w:val="32"/>
        </w:rPr>
        <w:t>柴胡</w:t>
      </w:r>
      <w:r w:rsidRPr="00635AB5">
        <w:rPr>
          <w:b/>
          <w:sz w:val="32"/>
          <w:szCs w:val="32"/>
        </w:rPr>
        <w:t>注射液说明书</w:t>
      </w:r>
    </w:p>
    <w:p w:rsidR="00552213" w:rsidRDefault="00552213" w:rsidP="00552213">
      <w:pPr>
        <w:spacing w:line="360" w:lineRule="auto"/>
        <w:jc w:val="center"/>
        <w:rPr>
          <w:b/>
          <w:sz w:val="24"/>
        </w:rPr>
      </w:pPr>
      <w:r>
        <w:rPr>
          <w:b/>
          <w:sz w:val="24"/>
        </w:rPr>
        <w:t>请仔细阅读说明书并在医师指导下使用</w:t>
      </w:r>
    </w:p>
    <w:p w:rsidR="00552213" w:rsidRDefault="00552213" w:rsidP="00552213">
      <w:pPr>
        <w:ind w:firstLineChars="200" w:firstLine="482"/>
        <w:rPr>
          <w:rFonts w:ascii="宋体" w:hAnsi="宋体"/>
          <w:b/>
          <w:sz w:val="24"/>
        </w:rPr>
      </w:pPr>
      <w:r>
        <w:rPr>
          <w:rFonts w:ascii="黑体" w:eastAsia="黑体" w:hAnsi="宋体" w:hint="eastAsia"/>
          <w:b/>
          <w:bCs/>
          <w:sz w:val="24"/>
        </w:rPr>
        <w:t xml:space="preserve"> </w:t>
      </w:r>
    </w:p>
    <w:p w:rsidR="00552213" w:rsidRDefault="00552213" w:rsidP="00552213">
      <w:pPr>
        <w:ind w:firstLineChars="200" w:firstLine="482"/>
        <w:rPr>
          <w:rFonts w:ascii="宋体" w:hAnsi="宋体"/>
          <w:b/>
          <w:sz w:val="24"/>
        </w:rPr>
      </w:pPr>
      <w:r>
        <w:rPr>
          <w:rFonts w:ascii="宋体" w:hAnsi="宋体" w:hint="eastAsia"/>
          <w:b/>
          <w:sz w:val="24"/>
        </w:rPr>
        <w:t>警示语：</w:t>
      </w:r>
      <w:r>
        <w:rPr>
          <w:rFonts w:ascii="宋体" w:hAnsi="宋体"/>
          <w:b/>
          <w:sz w:val="24"/>
        </w:rPr>
        <w:t>本品不良反应包括过敏性休克，应在有抢救条件的医疗机构使用，使用者应接受过过敏性休克抢救培训，用药后出现过敏反应或其他严重不良反应须立即停药并及时救治。</w:t>
      </w:r>
      <w:r>
        <w:rPr>
          <w:rFonts w:ascii="黑体" w:eastAsia="黑体" w:hAnsi="宋体" w:hint="eastAsia"/>
          <w:b/>
          <w:bCs/>
          <w:sz w:val="24"/>
        </w:rPr>
        <w:t xml:space="preserve">    </w:t>
      </w:r>
    </w:p>
    <w:p w:rsidR="00552213" w:rsidRDefault="00552213" w:rsidP="00552213">
      <w:pPr>
        <w:ind w:firstLine="540"/>
        <w:jc w:val="left"/>
        <w:rPr>
          <w:rFonts w:ascii="宋体" w:hAnsi="宋体"/>
          <w:sz w:val="24"/>
        </w:rPr>
      </w:pPr>
      <w:r>
        <w:rPr>
          <w:rFonts w:ascii="宋体" w:hAnsi="宋体"/>
          <w:sz w:val="24"/>
        </w:rPr>
        <w:t>【药品名称】</w:t>
      </w:r>
    </w:p>
    <w:p w:rsidR="00552213" w:rsidRDefault="00552213" w:rsidP="00552213">
      <w:pPr>
        <w:ind w:firstLine="540"/>
        <w:rPr>
          <w:rFonts w:ascii="宋体" w:hAnsi="宋体"/>
          <w:sz w:val="24"/>
        </w:rPr>
      </w:pPr>
      <w:r>
        <w:rPr>
          <w:rFonts w:ascii="宋体" w:hAnsi="宋体"/>
          <w:sz w:val="24"/>
        </w:rPr>
        <w:t>通用名称：</w:t>
      </w:r>
      <w:r>
        <w:rPr>
          <w:rFonts w:ascii="宋体" w:hAnsi="宋体" w:hint="eastAsia"/>
          <w:sz w:val="24"/>
        </w:rPr>
        <w:t>柴胡注射液</w:t>
      </w:r>
    </w:p>
    <w:p w:rsidR="00552213" w:rsidRDefault="00552213" w:rsidP="00552213">
      <w:pPr>
        <w:ind w:firstLine="540"/>
        <w:rPr>
          <w:rFonts w:ascii="宋体" w:hAnsi="宋体"/>
          <w:sz w:val="24"/>
        </w:rPr>
      </w:pPr>
      <w:r>
        <w:rPr>
          <w:rFonts w:ascii="宋体" w:hAnsi="宋体"/>
          <w:sz w:val="24"/>
        </w:rPr>
        <w:t>汉语拼音：</w:t>
      </w:r>
      <w:proofErr w:type="spellStart"/>
      <w:proofErr w:type="gramStart"/>
      <w:r>
        <w:rPr>
          <w:rFonts w:ascii="宋体" w:hAnsi="宋体" w:hint="eastAsia"/>
          <w:sz w:val="24"/>
        </w:rPr>
        <w:t>C</w:t>
      </w:r>
      <w:r>
        <w:rPr>
          <w:rFonts w:ascii="宋体" w:hAnsi="宋体"/>
          <w:sz w:val="24"/>
        </w:rPr>
        <w:t>haihu</w:t>
      </w:r>
      <w:proofErr w:type="spellEnd"/>
      <w:r>
        <w:rPr>
          <w:rFonts w:ascii="宋体" w:hAnsi="宋体"/>
          <w:sz w:val="24"/>
        </w:rPr>
        <w:t xml:space="preserve">  </w:t>
      </w:r>
      <w:proofErr w:type="spellStart"/>
      <w:r>
        <w:rPr>
          <w:rFonts w:ascii="宋体" w:hAnsi="宋体"/>
          <w:sz w:val="24"/>
        </w:rPr>
        <w:t>Zhusheye</w:t>
      </w:r>
      <w:proofErr w:type="spellEnd"/>
      <w:proofErr w:type="gramEnd"/>
    </w:p>
    <w:p w:rsidR="00552213" w:rsidRDefault="00552213" w:rsidP="00552213">
      <w:pPr>
        <w:ind w:firstLine="540"/>
        <w:rPr>
          <w:rFonts w:ascii="宋体" w:hAnsi="宋体"/>
          <w:sz w:val="24"/>
        </w:rPr>
      </w:pPr>
      <w:r>
        <w:rPr>
          <w:rFonts w:ascii="宋体" w:hAnsi="宋体"/>
          <w:sz w:val="24"/>
        </w:rPr>
        <w:t>【成  份】</w:t>
      </w:r>
      <w:r>
        <w:rPr>
          <w:rFonts w:ascii="宋体" w:hAnsi="宋体" w:hint="eastAsia"/>
          <w:sz w:val="24"/>
        </w:rPr>
        <w:t>北柴胡</w:t>
      </w:r>
      <w:r>
        <w:rPr>
          <w:rFonts w:ascii="宋体" w:hAnsi="宋体"/>
          <w:sz w:val="24"/>
        </w:rPr>
        <w:t>，辅料为氯化钠、聚山</w:t>
      </w:r>
      <w:r w:rsidRPr="004D5D57">
        <w:rPr>
          <w:rFonts w:ascii="宋体" w:hAnsi="宋体"/>
          <w:sz w:val="24"/>
        </w:rPr>
        <w:t>梨</w:t>
      </w:r>
      <w:proofErr w:type="gramStart"/>
      <w:r w:rsidRPr="004D5D57">
        <w:rPr>
          <w:rFonts w:ascii="宋体" w:hAnsi="宋体"/>
          <w:sz w:val="24"/>
        </w:rPr>
        <w:t>酯</w:t>
      </w:r>
      <w:proofErr w:type="gramEnd"/>
      <w:r w:rsidRPr="004D5D57">
        <w:rPr>
          <w:rFonts w:ascii="宋体" w:hAnsi="宋体"/>
          <w:sz w:val="24"/>
        </w:rPr>
        <w:t>80</w:t>
      </w:r>
      <w:r w:rsidRPr="004D5D57">
        <w:rPr>
          <w:rFonts w:ascii="宋体" w:hAnsi="宋体" w:hint="eastAsia"/>
          <w:sz w:val="24"/>
        </w:rPr>
        <w:t>(Ⅱ)</w:t>
      </w:r>
      <w:r>
        <w:rPr>
          <w:rFonts w:ascii="宋体" w:hAnsi="宋体" w:hint="eastAsia"/>
          <w:sz w:val="24"/>
        </w:rPr>
        <w:t>、注射用水</w:t>
      </w:r>
      <w:r>
        <w:rPr>
          <w:rFonts w:ascii="宋体" w:hAnsi="宋体"/>
          <w:sz w:val="24"/>
        </w:rPr>
        <w:t>。</w:t>
      </w:r>
    </w:p>
    <w:p w:rsidR="00552213" w:rsidRDefault="00552213" w:rsidP="00552213">
      <w:pPr>
        <w:ind w:firstLine="540"/>
        <w:rPr>
          <w:rFonts w:ascii="宋体" w:hAnsi="宋体"/>
          <w:sz w:val="24"/>
        </w:rPr>
      </w:pPr>
      <w:r>
        <w:rPr>
          <w:rFonts w:ascii="宋体" w:hAnsi="宋体"/>
          <w:sz w:val="24"/>
        </w:rPr>
        <w:t>【性  状】</w:t>
      </w:r>
      <w:r>
        <w:rPr>
          <w:rFonts w:ascii="宋体" w:hAnsi="宋体" w:hint="eastAsia"/>
          <w:sz w:val="24"/>
        </w:rPr>
        <w:t>本品为无色至微黄色或呈微乳白色的澄明液体；气芳香。</w:t>
      </w:r>
    </w:p>
    <w:p w:rsidR="00552213" w:rsidRDefault="00552213" w:rsidP="00552213">
      <w:pPr>
        <w:ind w:firstLine="540"/>
        <w:rPr>
          <w:rFonts w:ascii="宋体" w:hAnsi="宋体"/>
          <w:sz w:val="24"/>
        </w:rPr>
      </w:pPr>
      <w:r>
        <w:rPr>
          <w:rFonts w:ascii="宋体" w:hAnsi="宋体"/>
          <w:sz w:val="24"/>
        </w:rPr>
        <w:t>【功能主治】</w:t>
      </w:r>
      <w:r>
        <w:rPr>
          <w:rFonts w:ascii="宋体" w:hAnsi="宋体" w:hint="eastAsia"/>
          <w:sz w:val="24"/>
        </w:rPr>
        <w:t>清热解表。用于治疗感冒、流行性感冒及疟疾等的发热。</w:t>
      </w:r>
    </w:p>
    <w:p w:rsidR="00552213" w:rsidRDefault="00552213" w:rsidP="00552213">
      <w:pPr>
        <w:ind w:firstLine="540"/>
        <w:rPr>
          <w:rFonts w:ascii="宋体" w:hAnsi="宋体"/>
          <w:sz w:val="24"/>
        </w:rPr>
      </w:pPr>
      <w:r>
        <w:rPr>
          <w:rFonts w:ascii="宋体" w:hAnsi="宋体"/>
          <w:sz w:val="24"/>
        </w:rPr>
        <w:t>【规格】</w:t>
      </w:r>
      <w:r>
        <w:rPr>
          <w:rFonts w:ascii="宋体" w:hAnsi="宋体" w:hint="eastAsia"/>
          <w:sz w:val="24"/>
        </w:rPr>
        <w:t>每支装</w:t>
      </w:r>
      <w:r>
        <w:rPr>
          <w:rFonts w:ascii="宋体" w:hAnsi="宋体"/>
          <w:sz w:val="24"/>
        </w:rPr>
        <w:t xml:space="preserve">2ml </w:t>
      </w:r>
    </w:p>
    <w:p w:rsidR="00552213" w:rsidRDefault="00552213" w:rsidP="00552213">
      <w:pPr>
        <w:ind w:firstLine="540"/>
        <w:rPr>
          <w:rFonts w:ascii="宋体" w:hAnsi="宋体"/>
          <w:sz w:val="24"/>
        </w:rPr>
      </w:pPr>
      <w:r>
        <w:rPr>
          <w:rFonts w:ascii="宋体" w:hAnsi="宋体"/>
          <w:sz w:val="24"/>
        </w:rPr>
        <w:t>【用法用量】</w:t>
      </w:r>
      <w:r>
        <w:rPr>
          <w:rFonts w:ascii="宋体" w:hAnsi="宋体" w:hint="eastAsia"/>
          <w:sz w:val="24"/>
        </w:rPr>
        <w:t>肌内注射。一次2-</w:t>
      </w:r>
      <w:r>
        <w:rPr>
          <w:rFonts w:ascii="宋体" w:hAnsi="宋体"/>
          <w:sz w:val="24"/>
        </w:rPr>
        <w:t>4ml</w:t>
      </w:r>
      <w:r>
        <w:rPr>
          <w:rFonts w:ascii="宋体" w:hAnsi="宋体" w:hint="eastAsia"/>
          <w:sz w:val="24"/>
        </w:rPr>
        <w:t>，一日1-2次。</w:t>
      </w:r>
    </w:p>
    <w:p w:rsidR="00552213" w:rsidRDefault="00552213" w:rsidP="00552213">
      <w:pPr>
        <w:ind w:firstLine="540"/>
        <w:rPr>
          <w:rFonts w:ascii="宋体" w:hAnsi="宋体"/>
          <w:sz w:val="24"/>
        </w:rPr>
      </w:pPr>
      <w:r>
        <w:rPr>
          <w:rFonts w:ascii="宋体" w:hAnsi="宋体"/>
          <w:sz w:val="24"/>
        </w:rPr>
        <w:t>【不良反应】过敏反应：皮肤潮红或苍白、皮疹、瘙痒、呼吸困难、心悸、紫</w:t>
      </w:r>
      <w:proofErr w:type="gramStart"/>
      <w:r>
        <w:rPr>
          <w:rFonts w:ascii="宋体" w:hAnsi="宋体"/>
          <w:sz w:val="24"/>
        </w:rPr>
        <w:t>绀</w:t>
      </w:r>
      <w:proofErr w:type="gramEnd"/>
      <w:r>
        <w:rPr>
          <w:rFonts w:ascii="宋体" w:hAnsi="宋体"/>
          <w:sz w:val="24"/>
        </w:rPr>
        <w:t>、血压下降、过敏性休克、过敏样反应等。</w:t>
      </w:r>
    </w:p>
    <w:p w:rsidR="00552213" w:rsidRDefault="00552213" w:rsidP="00552213">
      <w:pPr>
        <w:ind w:firstLineChars="200" w:firstLine="480"/>
        <w:rPr>
          <w:rFonts w:ascii="宋体" w:hAnsi="宋体"/>
          <w:sz w:val="24"/>
        </w:rPr>
      </w:pPr>
      <w:r>
        <w:rPr>
          <w:rFonts w:ascii="宋体" w:hAnsi="宋体"/>
          <w:sz w:val="24"/>
        </w:rPr>
        <w:t>全身性反应：畏寒、寒战、发热、疼痛、乏力等。</w:t>
      </w:r>
    </w:p>
    <w:p w:rsidR="00552213" w:rsidRDefault="00552213" w:rsidP="00552213">
      <w:pPr>
        <w:ind w:firstLineChars="200" w:firstLine="480"/>
        <w:rPr>
          <w:rFonts w:ascii="宋体" w:hAnsi="宋体"/>
          <w:spacing w:val="-6"/>
          <w:sz w:val="24"/>
        </w:rPr>
      </w:pPr>
      <w:r>
        <w:rPr>
          <w:rFonts w:ascii="宋体" w:hAnsi="宋体"/>
          <w:sz w:val="24"/>
        </w:rPr>
        <w:t>皮</w:t>
      </w:r>
      <w:r>
        <w:rPr>
          <w:rFonts w:ascii="宋体" w:hAnsi="宋体"/>
          <w:spacing w:val="-6"/>
          <w:sz w:val="24"/>
        </w:rPr>
        <w:t>肤及其附件：可表现多种皮疹，以荨麻疹、皮炎伴瘙痒为主。</w:t>
      </w:r>
    </w:p>
    <w:p w:rsidR="00552213" w:rsidRDefault="00552213" w:rsidP="00552213">
      <w:pPr>
        <w:ind w:firstLineChars="200" w:firstLine="480"/>
        <w:rPr>
          <w:rFonts w:ascii="宋体" w:hAnsi="宋体"/>
          <w:sz w:val="24"/>
        </w:rPr>
      </w:pPr>
      <w:r>
        <w:rPr>
          <w:rFonts w:ascii="宋体" w:hAnsi="宋体"/>
          <w:sz w:val="24"/>
        </w:rPr>
        <w:t>呼吸系统：憋气、呼吸急促、呼吸困难等。</w:t>
      </w:r>
    </w:p>
    <w:p w:rsidR="00552213" w:rsidRDefault="00552213" w:rsidP="00552213">
      <w:pPr>
        <w:ind w:firstLineChars="200" w:firstLine="480"/>
        <w:rPr>
          <w:rFonts w:ascii="宋体" w:hAnsi="宋体"/>
          <w:sz w:val="24"/>
        </w:rPr>
      </w:pPr>
      <w:r>
        <w:rPr>
          <w:rFonts w:ascii="宋体" w:hAnsi="宋体"/>
          <w:sz w:val="24"/>
        </w:rPr>
        <w:t>心血管系统：心悸、胸闷、紫</w:t>
      </w:r>
      <w:proofErr w:type="gramStart"/>
      <w:r>
        <w:rPr>
          <w:rFonts w:ascii="宋体" w:hAnsi="宋体"/>
          <w:sz w:val="24"/>
        </w:rPr>
        <w:t>绀</w:t>
      </w:r>
      <w:proofErr w:type="gramEnd"/>
      <w:r>
        <w:rPr>
          <w:rFonts w:ascii="宋体" w:hAnsi="宋体"/>
          <w:sz w:val="24"/>
        </w:rPr>
        <w:t>、血压下降等。</w:t>
      </w:r>
    </w:p>
    <w:p w:rsidR="00552213" w:rsidRDefault="00552213" w:rsidP="00552213">
      <w:pPr>
        <w:ind w:firstLineChars="200" w:firstLine="480"/>
        <w:rPr>
          <w:rFonts w:ascii="宋体" w:hAnsi="宋体"/>
          <w:sz w:val="24"/>
        </w:rPr>
      </w:pPr>
      <w:r>
        <w:rPr>
          <w:rFonts w:ascii="宋体" w:hAnsi="宋体"/>
          <w:sz w:val="24"/>
        </w:rPr>
        <w:t>神经精神系统：头晕、头痛、麻木、眩晕、晕厥、抽搐、意识模糊等。</w:t>
      </w:r>
    </w:p>
    <w:p w:rsidR="00552213" w:rsidRDefault="00552213" w:rsidP="00552213">
      <w:pPr>
        <w:ind w:firstLineChars="200" w:firstLine="480"/>
        <w:rPr>
          <w:rFonts w:ascii="宋体" w:hAnsi="宋体"/>
          <w:sz w:val="24"/>
        </w:rPr>
      </w:pPr>
      <w:r>
        <w:rPr>
          <w:rFonts w:ascii="宋体" w:hAnsi="宋体"/>
          <w:sz w:val="24"/>
        </w:rPr>
        <w:t>消化系统：口干、恶心、呕吐、腹痛、腹泻等。</w:t>
      </w:r>
    </w:p>
    <w:p w:rsidR="00552213" w:rsidRDefault="00552213" w:rsidP="00552213">
      <w:pPr>
        <w:ind w:firstLineChars="200" w:firstLine="480"/>
        <w:rPr>
          <w:rFonts w:ascii="宋体" w:hAnsi="宋体"/>
          <w:sz w:val="24"/>
        </w:rPr>
      </w:pPr>
      <w:r>
        <w:rPr>
          <w:rFonts w:ascii="宋体" w:hAnsi="宋体"/>
          <w:sz w:val="24"/>
        </w:rPr>
        <w:t>用药部位：疼痛、皮疹、瘙痒、局部红肿硬结等。</w:t>
      </w:r>
    </w:p>
    <w:p w:rsidR="00552213" w:rsidRDefault="00552213" w:rsidP="00552213">
      <w:pPr>
        <w:ind w:firstLineChars="200" w:firstLine="480"/>
        <w:rPr>
          <w:rFonts w:ascii="宋体" w:hAnsi="宋体"/>
          <w:sz w:val="24"/>
        </w:rPr>
      </w:pPr>
      <w:r>
        <w:rPr>
          <w:rFonts w:ascii="宋体" w:hAnsi="宋体"/>
          <w:sz w:val="24"/>
        </w:rPr>
        <w:t>【禁忌】1．对本品或含有柴胡制剂及成份中所列辅料过敏或有严重不良反应病史者禁用。2．儿童禁用。</w:t>
      </w:r>
    </w:p>
    <w:p w:rsidR="00552213" w:rsidRDefault="00552213" w:rsidP="00552213">
      <w:pPr>
        <w:ind w:firstLineChars="200" w:firstLine="480"/>
        <w:rPr>
          <w:rFonts w:ascii="宋体" w:hAnsi="宋体"/>
          <w:sz w:val="24"/>
        </w:rPr>
      </w:pPr>
      <w:r>
        <w:rPr>
          <w:rFonts w:ascii="宋体" w:hAnsi="宋体"/>
          <w:sz w:val="24"/>
        </w:rPr>
        <w:t>【注意事项】1．本品不良反应包括过敏性休克，应在有抢救条件的医疗机构使用，使用者应接受过过敏性休克抢救培训，用药后出现过敏反应或其他严重不良反应须立即停药并及时救治。2．严格按照药品说明书规定的功能主治使用，禁止超功能主治用药。3．本品为退热解表药，无发热者不宜。4．严格按照药品说明书推荐的用法用量使用，尤其注意不超剂量、不长期连续用药。5．用药前应仔细询问患者情况、用药史和过敏史。有药物过敏史或过敏体质者慎用。6．有家族过敏史者慎用。7．本品保存不当可能会影响药品质量，用药前应认真检查本品，发现药液出现浑浊、沉淀、变色、结晶等药物性状改变以及瓶身有漏气、裂纹等现象时，均不得使用。8．严禁混合配伍，谨慎联合用药。本品应单独使用，禁忌与其他药品混合配伍使用。9．对老人、孕妇、肝肾功能异常患者等特殊人群和初次使用中药注射剂的患者应慎重使用，加强监测。10．加强用药监护。用药过程中，应密切观察用药反应，特别是开始30分钟。发现异常，立即停药，采用积极救治措施，救治患者。</w:t>
      </w:r>
    </w:p>
    <w:p w:rsidR="00552213" w:rsidRDefault="00552213" w:rsidP="00552213">
      <w:pPr>
        <w:ind w:firstLine="540"/>
        <w:rPr>
          <w:rFonts w:ascii="宋体" w:hAnsi="宋体"/>
          <w:sz w:val="24"/>
        </w:rPr>
      </w:pPr>
      <w:r>
        <w:rPr>
          <w:rFonts w:ascii="宋体" w:hAnsi="宋体"/>
          <w:sz w:val="24"/>
        </w:rPr>
        <w:t>【药物相互作用】 尚无本品与其他药物相互作用的信息。</w:t>
      </w:r>
    </w:p>
    <w:p w:rsidR="00552213" w:rsidRDefault="00552213" w:rsidP="00552213">
      <w:pPr>
        <w:ind w:firstLine="540"/>
        <w:rPr>
          <w:rFonts w:ascii="宋体" w:hAnsi="宋体"/>
          <w:sz w:val="24"/>
        </w:rPr>
      </w:pPr>
      <w:r>
        <w:rPr>
          <w:rFonts w:ascii="宋体" w:hAnsi="宋体"/>
          <w:sz w:val="24"/>
        </w:rPr>
        <w:t>【贮藏】密封，遮光，置阴凉处</w:t>
      </w:r>
      <w:r>
        <w:rPr>
          <w:rFonts w:ascii="宋体" w:hAnsi="宋体" w:hint="eastAsia"/>
          <w:sz w:val="24"/>
        </w:rPr>
        <w:t>（不超过20℃）</w:t>
      </w:r>
      <w:r>
        <w:rPr>
          <w:rFonts w:ascii="宋体" w:hAnsi="宋体"/>
          <w:sz w:val="24"/>
        </w:rPr>
        <w:t>。</w:t>
      </w:r>
    </w:p>
    <w:p w:rsidR="00552213" w:rsidRDefault="00552213" w:rsidP="00552213">
      <w:pPr>
        <w:ind w:firstLine="540"/>
        <w:rPr>
          <w:rFonts w:ascii="宋体" w:hAnsi="宋体"/>
          <w:sz w:val="24"/>
        </w:rPr>
      </w:pPr>
      <w:r>
        <w:rPr>
          <w:rFonts w:ascii="宋体" w:hAnsi="宋体"/>
          <w:sz w:val="24"/>
        </w:rPr>
        <w:t>【包装】</w:t>
      </w:r>
      <w:proofErr w:type="gramStart"/>
      <w:r>
        <w:rPr>
          <w:rFonts w:ascii="宋体" w:hAnsi="宋体" w:hint="eastAsia"/>
          <w:bCs/>
          <w:sz w:val="24"/>
        </w:rPr>
        <w:t>低硼硅玻璃</w:t>
      </w:r>
      <w:proofErr w:type="gramEnd"/>
      <w:r>
        <w:rPr>
          <w:rFonts w:ascii="宋体" w:hAnsi="宋体" w:hint="eastAsia"/>
          <w:bCs/>
          <w:sz w:val="24"/>
        </w:rPr>
        <w:t>安瓿、纸盒，10支/盒。</w:t>
      </w:r>
    </w:p>
    <w:p w:rsidR="00552213" w:rsidRDefault="00552213" w:rsidP="00552213">
      <w:pPr>
        <w:ind w:firstLine="540"/>
        <w:rPr>
          <w:rFonts w:ascii="宋体" w:hAnsi="宋体"/>
          <w:sz w:val="24"/>
        </w:rPr>
      </w:pPr>
      <w:r>
        <w:rPr>
          <w:rFonts w:ascii="宋体" w:hAnsi="宋体"/>
          <w:sz w:val="24"/>
        </w:rPr>
        <w:lastRenderedPageBreak/>
        <w:t>【有效期】</w:t>
      </w:r>
      <w:r>
        <w:rPr>
          <w:rFonts w:ascii="宋体" w:hAnsi="宋体" w:hint="eastAsia"/>
          <w:sz w:val="24"/>
        </w:rPr>
        <w:t>24个月</w:t>
      </w:r>
    </w:p>
    <w:p w:rsidR="00552213" w:rsidRDefault="00552213" w:rsidP="00552213">
      <w:pPr>
        <w:ind w:firstLine="540"/>
        <w:rPr>
          <w:rFonts w:ascii="宋体" w:hAnsi="宋体"/>
          <w:sz w:val="24"/>
        </w:rPr>
      </w:pPr>
      <w:r>
        <w:rPr>
          <w:rFonts w:ascii="宋体" w:hAnsi="宋体"/>
          <w:sz w:val="24"/>
        </w:rPr>
        <w:t>【执行标准】</w:t>
      </w:r>
      <w:r>
        <w:rPr>
          <w:rFonts w:ascii="宋体" w:hAnsi="宋体" w:hint="eastAsia"/>
          <w:sz w:val="24"/>
        </w:rPr>
        <w:t>国家食品药品监督管理局国家药品标准WS</w:t>
      </w:r>
      <w:r>
        <w:rPr>
          <w:rFonts w:ascii="宋体" w:hAnsi="宋体" w:hint="eastAsia"/>
          <w:sz w:val="24"/>
          <w:vertAlign w:val="subscript"/>
        </w:rPr>
        <w:t>3</w:t>
      </w:r>
      <w:r>
        <w:rPr>
          <w:rFonts w:ascii="宋体" w:hAnsi="宋体" w:hint="eastAsia"/>
          <w:sz w:val="24"/>
        </w:rPr>
        <w:t>-B-3297-98-2011。</w:t>
      </w:r>
    </w:p>
    <w:p w:rsidR="00552213" w:rsidRDefault="00552213" w:rsidP="00552213">
      <w:pPr>
        <w:ind w:firstLine="540"/>
        <w:rPr>
          <w:rFonts w:ascii="宋体" w:hAnsi="宋体"/>
          <w:bCs/>
          <w:sz w:val="24"/>
        </w:rPr>
      </w:pPr>
      <w:r>
        <w:rPr>
          <w:rFonts w:ascii="宋体" w:hAnsi="宋体"/>
          <w:sz w:val="24"/>
        </w:rPr>
        <w:t>【批准文号】</w:t>
      </w:r>
      <w:r>
        <w:rPr>
          <w:rFonts w:ascii="宋体" w:hAnsi="宋体" w:hint="eastAsia"/>
          <w:bCs/>
          <w:sz w:val="24"/>
        </w:rPr>
        <w:t>国药准字</w:t>
      </w:r>
      <w:r>
        <w:rPr>
          <w:rFonts w:ascii="宋体" w:hAnsi="宋体"/>
          <w:bCs/>
          <w:sz w:val="24"/>
        </w:rPr>
        <w:t>Z</w:t>
      </w:r>
      <w:r>
        <w:rPr>
          <w:rFonts w:ascii="宋体" w:hAnsi="宋体" w:hint="eastAsia"/>
          <w:bCs/>
          <w:sz w:val="24"/>
        </w:rPr>
        <w:t>41022376</w:t>
      </w:r>
    </w:p>
    <w:p w:rsidR="00552213" w:rsidRDefault="00552213" w:rsidP="00552213">
      <w:pPr>
        <w:ind w:firstLine="540"/>
        <w:rPr>
          <w:rFonts w:ascii="宋体" w:hAnsi="宋体"/>
          <w:sz w:val="24"/>
        </w:rPr>
      </w:pPr>
      <w:r>
        <w:rPr>
          <w:rFonts w:ascii="宋体" w:hAnsi="宋体" w:hint="eastAsia"/>
          <w:sz w:val="24"/>
        </w:rPr>
        <w:t>【上市许可持有人】海南制药厂有限公司制药二厂</w:t>
      </w:r>
    </w:p>
    <w:p w:rsidR="00552213" w:rsidRDefault="00552213" w:rsidP="00552213">
      <w:pPr>
        <w:ind w:firstLine="540"/>
        <w:rPr>
          <w:rFonts w:ascii="宋体" w:hAnsi="宋体"/>
          <w:sz w:val="24"/>
        </w:rPr>
      </w:pPr>
      <w:r>
        <w:rPr>
          <w:rFonts w:ascii="宋体" w:hAnsi="宋体" w:hint="eastAsia"/>
          <w:sz w:val="24"/>
        </w:rPr>
        <w:t>【地    址】林州市</w:t>
      </w:r>
      <w:proofErr w:type="gramStart"/>
      <w:r>
        <w:rPr>
          <w:rFonts w:ascii="宋体" w:hAnsi="宋体" w:hint="eastAsia"/>
          <w:sz w:val="24"/>
        </w:rPr>
        <w:t>史家河</w:t>
      </w:r>
      <w:proofErr w:type="gramEnd"/>
      <w:r>
        <w:rPr>
          <w:rFonts w:ascii="宋体" w:hAnsi="宋体" w:hint="eastAsia"/>
          <w:sz w:val="24"/>
        </w:rPr>
        <w:t>工业园区</w:t>
      </w:r>
    </w:p>
    <w:p w:rsidR="00552213" w:rsidRDefault="00552213" w:rsidP="00552213">
      <w:pPr>
        <w:ind w:firstLine="540"/>
        <w:rPr>
          <w:rFonts w:ascii="宋体" w:hAnsi="宋体"/>
          <w:sz w:val="24"/>
        </w:rPr>
      </w:pPr>
      <w:r>
        <w:rPr>
          <w:rFonts w:ascii="宋体" w:hAnsi="宋体"/>
          <w:sz w:val="24"/>
        </w:rPr>
        <w:t>【生产企业】</w:t>
      </w:r>
    </w:p>
    <w:p w:rsidR="00552213" w:rsidRDefault="00552213" w:rsidP="00552213">
      <w:pPr>
        <w:ind w:firstLineChars="507" w:firstLine="1217"/>
        <w:rPr>
          <w:rFonts w:ascii="宋体" w:hAnsi="宋体"/>
          <w:sz w:val="24"/>
        </w:rPr>
      </w:pPr>
      <w:r>
        <w:rPr>
          <w:rFonts w:ascii="宋体" w:hAnsi="宋体"/>
          <w:sz w:val="24"/>
        </w:rPr>
        <w:t>企业名称：</w:t>
      </w:r>
      <w:r>
        <w:rPr>
          <w:rFonts w:ascii="宋体" w:hAnsi="宋体" w:hint="eastAsia"/>
          <w:sz w:val="24"/>
        </w:rPr>
        <w:t>海南制药厂有限公司制药二厂</w:t>
      </w:r>
    </w:p>
    <w:p w:rsidR="00552213" w:rsidRDefault="00552213" w:rsidP="00552213">
      <w:pPr>
        <w:ind w:firstLineChars="500" w:firstLine="1200"/>
        <w:rPr>
          <w:rFonts w:ascii="宋体" w:hAnsi="宋体"/>
          <w:sz w:val="24"/>
        </w:rPr>
      </w:pPr>
      <w:r>
        <w:rPr>
          <w:rFonts w:ascii="宋体" w:hAnsi="宋体"/>
          <w:sz w:val="24"/>
        </w:rPr>
        <w:t>生产地址：</w:t>
      </w:r>
      <w:r>
        <w:rPr>
          <w:rFonts w:ascii="宋体" w:hAnsi="宋体" w:hint="eastAsia"/>
          <w:sz w:val="24"/>
        </w:rPr>
        <w:t>林州市</w:t>
      </w:r>
      <w:proofErr w:type="gramStart"/>
      <w:r>
        <w:rPr>
          <w:rFonts w:ascii="宋体" w:hAnsi="宋体" w:hint="eastAsia"/>
          <w:sz w:val="24"/>
        </w:rPr>
        <w:t>史家河</w:t>
      </w:r>
      <w:proofErr w:type="gramEnd"/>
      <w:r>
        <w:rPr>
          <w:rFonts w:ascii="宋体" w:hAnsi="宋体" w:hint="eastAsia"/>
          <w:sz w:val="24"/>
        </w:rPr>
        <w:t>工业园区</w:t>
      </w:r>
    </w:p>
    <w:p w:rsidR="00552213" w:rsidRDefault="00552213" w:rsidP="00552213">
      <w:pPr>
        <w:ind w:firstLineChars="500" w:firstLine="1200"/>
        <w:rPr>
          <w:rFonts w:ascii="宋体" w:hAnsi="宋体"/>
          <w:sz w:val="24"/>
        </w:rPr>
      </w:pPr>
      <w:r>
        <w:rPr>
          <w:rFonts w:ascii="宋体" w:hAnsi="宋体"/>
          <w:sz w:val="24"/>
        </w:rPr>
        <w:t>邮政编码：</w:t>
      </w:r>
      <w:r>
        <w:rPr>
          <w:rFonts w:ascii="宋体" w:hAnsi="宋体" w:hint="eastAsia"/>
          <w:sz w:val="24"/>
        </w:rPr>
        <w:t>456592</w:t>
      </w:r>
    </w:p>
    <w:p w:rsidR="00552213" w:rsidRDefault="00552213" w:rsidP="00552213">
      <w:pPr>
        <w:ind w:firstLineChars="500" w:firstLine="1200"/>
        <w:rPr>
          <w:rFonts w:ascii="宋体" w:hAnsi="宋体"/>
          <w:sz w:val="24"/>
        </w:rPr>
      </w:pPr>
      <w:r>
        <w:rPr>
          <w:rFonts w:ascii="宋体" w:hAnsi="宋体"/>
          <w:sz w:val="24"/>
        </w:rPr>
        <w:t>电话号码：</w:t>
      </w:r>
      <w:r>
        <w:rPr>
          <w:rFonts w:ascii="宋体" w:hAnsi="宋体" w:hint="eastAsia"/>
          <w:sz w:val="24"/>
        </w:rPr>
        <w:t>0372-6515111</w:t>
      </w:r>
    </w:p>
    <w:p w:rsidR="00552213" w:rsidRDefault="00552213" w:rsidP="00552213">
      <w:pPr>
        <w:ind w:firstLineChars="500" w:firstLine="1200"/>
        <w:rPr>
          <w:rFonts w:ascii="宋体" w:hAnsi="宋体"/>
          <w:sz w:val="24"/>
        </w:rPr>
      </w:pPr>
      <w:r>
        <w:rPr>
          <w:rFonts w:ascii="宋体" w:hAnsi="宋体"/>
          <w:sz w:val="24"/>
        </w:rPr>
        <w:t>传真号码：</w:t>
      </w:r>
      <w:r>
        <w:rPr>
          <w:rFonts w:ascii="宋体" w:hAnsi="宋体" w:hint="eastAsia"/>
          <w:sz w:val="24"/>
        </w:rPr>
        <w:t>0372-6515111</w:t>
      </w:r>
    </w:p>
    <w:p w:rsidR="00552213" w:rsidRDefault="00552213" w:rsidP="00552213">
      <w:pPr>
        <w:ind w:firstLineChars="500" w:firstLine="1200"/>
        <w:rPr>
          <w:rFonts w:ascii="宋体" w:hAnsi="宋体"/>
          <w:sz w:val="24"/>
        </w:rPr>
      </w:pPr>
      <w:r>
        <w:rPr>
          <w:rFonts w:ascii="宋体" w:hAnsi="宋体"/>
          <w:sz w:val="24"/>
        </w:rPr>
        <w:t>注册地址：</w:t>
      </w:r>
      <w:r>
        <w:rPr>
          <w:rFonts w:ascii="宋体" w:hAnsi="宋体" w:hint="eastAsia"/>
          <w:sz w:val="24"/>
        </w:rPr>
        <w:t>林州市</w:t>
      </w:r>
      <w:proofErr w:type="gramStart"/>
      <w:r>
        <w:rPr>
          <w:rFonts w:ascii="宋体" w:hAnsi="宋体" w:hint="eastAsia"/>
          <w:sz w:val="24"/>
        </w:rPr>
        <w:t>史家河</w:t>
      </w:r>
      <w:proofErr w:type="gramEnd"/>
      <w:r>
        <w:rPr>
          <w:rFonts w:ascii="宋体" w:hAnsi="宋体" w:hint="eastAsia"/>
          <w:sz w:val="24"/>
        </w:rPr>
        <w:t>工业园区</w:t>
      </w:r>
    </w:p>
    <w:p w:rsidR="00451E45" w:rsidRPr="00552213" w:rsidRDefault="00451E45"/>
    <w:sectPr w:rsidR="00451E45" w:rsidRPr="00552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13"/>
    <w:rsid w:val="00451E45"/>
    <w:rsid w:val="00552213"/>
    <w:rsid w:val="00635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52213"/>
    <w:pPr>
      <w:ind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52213"/>
    <w:pPr>
      <w:ind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1134</Characters>
  <Application>Microsoft Office Word</Application>
  <DocSecurity>0</DocSecurity>
  <Lines>9</Lines>
  <Paragraphs>2</Paragraphs>
  <ScaleCrop>false</ScaleCrop>
  <Company>2012dnd.com</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2024-08-19T05:35:00Z</dcterms:created>
  <dcterms:modified xsi:type="dcterms:W3CDTF">2025-01-13T02:56:00Z</dcterms:modified>
</cp:coreProperties>
</file>